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9829DC">
      <w:pPr>
        <w:jc w:val="center"/>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雅安市经开区化工园区承载能力提升基础设施建设项目</w:t>
      </w:r>
      <w:r>
        <w:rPr>
          <w:rFonts w:hint="eastAsia" w:ascii="仿宋" w:hAnsi="仿宋" w:eastAsia="仿宋" w:cs="仿宋"/>
          <w:b/>
          <w:bCs/>
          <w:color w:val="auto"/>
          <w:sz w:val="36"/>
          <w:szCs w:val="36"/>
          <w:highlight w:val="none"/>
          <w:lang w:val="en-US" w:eastAsia="zh-CN"/>
        </w:rPr>
        <w:t>情况说明</w:t>
      </w:r>
    </w:p>
    <w:p w14:paraId="70D5CD77">
      <w:pPr>
        <w:numPr>
          <w:ilvl w:val="0"/>
          <w:numId w:val="0"/>
        </w:numPr>
        <w:spacing w:beforeLines="50" w:afterLines="50" w:line="360" w:lineRule="auto"/>
        <w:jc w:val="both"/>
        <w:outlineLvl w:val="0"/>
        <w:rPr>
          <w:rFonts w:hint="eastAsia" w:ascii="仿宋" w:hAnsi="仿宋" w:eastAsia="仿宋" w:cs="仿宋"/>
          <w:b/>
          <w:bCs/>
          <w:color w:val="auto"/>
          <w:sz w:val="32"/>
          <w:szCs w:val="32"/>
          <w:highlight w:val="none"/>
        </w:rPr>
      </w:pPr>
      <w:bookmarkStart w:id="0" w:name="_Toc29970"/>
      <w:r>
        <w:rPr>
          <w:rFonts w:hint="eastAsia" w:ascii="仿宋" w:hAnsi="仿宋" w:eastAsia="仿宋" w:cs="仿宋"/>
          <w:b/>
          <w:bCs/>
          <w:color w:val="auto"/>
          <w:sz w:val="32"/>
          <w:szCs w:val="32"/>
          <w:highlight w:val="none"/>
          <w:lang w:val="en-US" w:eastAsia="zh-CN"/>
        </w:rPr>
        <w:t>一、</w:t>
      </w:r>
      <w:r>
        <w:rPr>
          <w:rFonts w:hint="eastAsia" w:ascii="仿宋" w:hAnsi="仿宋" w:eastAsia="仿宋" w:cs="仿宋"/>
          <w:b/>
          <w:bCs/>
          <w:color w:val="auto"/>
          <w:sz w:val="32"/>
          <w:szCs w:val="32"/>
          <w:highlight w:val="none"/>
        </w:rPr>
        <w:t>项目基本情况</w:t>
      </w:r>
      <w:bookmarkEnd w:id="0"/>
    </w:p>
    <w:p w14:paraId="141026B2">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color w:val="auto"/>
          <w:sz w:val="32"/>
          <w:szCs w:val="32"/>
          <w:highlight w:val="none"/>
          <w:lang w:val="en-US"/>
        </w:rPr>
      </w:pPr>
      <w:bookmarkStart w:id="1" w:name="_Toc498385045"/>
      <w:bookmarkStart w:id="2" w:name="_Toc498385714"/>
      <w:bookmarkStart w:id="3" w:name="_Toc29323"/>
      <w:bookmarkStart w:id="4" w:name="_Toc29907"/>
      <w:r>
        <w:rPr>
          <w:rFonts w:hint="eastAsia" w:ascii="仿宋" w:hAnsi="仿宋" w:eastAsia="仿宋" w:cs="仿宋"/>
          <w:b/>
          <w:bCs/>
          <w:color w:val="auto"/>
          <w:sz w:val="32"/>
          <w:szCs w:val="32"/>
          <w:highlight w:val="none"/>
          <w:lang w:val="en-US"/>
        </w:rPr>
        <w:t>（一）</w:t>
      </w:r>
      <w:bookmarkEnd w:id="1"/>
      <w:bookmarkEnd w:id="2"/>
      <w:r>
        <w:rPr>
          <w:rFonts w:hint="eastAsia" w:ascii="仿宋" w:hAnsi="仿宋" w:eastAsia="仿宋" w:cs="仿宋"/>
          <w:b/>
          <w:bCs/>
          <w:color w:val="auto"/>
          <w:sz w:val="32"/>
          <w:szCs w:val="32"/>
          <w:highlight w:val="none"/>
          <w:lang w:val="en-US"/>
        </w:rPr>
        <w:t>市县及级行业专项规划概况</w:t>
      </w:r>
      <w:bookmarkEnd w:id="3"/>
      <w:bookmarkEnd w:id="4"/>
    </w:p>
    <w:p w14:paraId="28DD3B8C">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bookmarkStart w:id="5" w:name="_Toc8651"/>
      <w:bookmarkStart w:id="6" w:name="_Toc9841"/>
      <w:bookmarkStart w:id="7" w:name="_Toc3378"/>
      <w:bookmarkStart w:id="8" w:name="_Toc19274"/>
      <w:bookmarkStart w:id="9" w:name="_Toc18204"/>
      <w:bookmarkStart w:id="10" w:name="_Toc30057"/>
      <w:bookmarkStart w:id="11" w:name="_Toc30768"/>
      <w:bookmarkStart w:id="12" w:name="_Toc21332"/>
      <w:bookmarkStart w:id="13" w:name="_Toc29490"/>
      <w:r>
        <w:rPr>
          <w:rFonts w:hint="eastAsia" w:ascii="仿宋" w:hAnsi="仿宋" w:eastAsia="仿宋" w:cs="仿宋"/>
          <w:color w:val="auto"/>
          <w:sz w:val="28"/>
          <w:szCs w:val="28"/>
          <w:highlight w:val="none"/>
        </w:rPr>
        <w:t>（一）国家层面政策规划符合性</w:t>
      </w:r>
    </w:p>
    <w:p w14:paraId="53771261">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本项目符合国家重大政策规划对产业园区基础设施、新材料产业发展及数字化建设的要求，具体如下：</w:t>
      </w:r>
    </w:p>
    <w:p w14:paraId="0F85323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 《中华人民共和国国民经济和社会发展第十四个五年规划和2035年远景目标纲要》明确提出：“坚持以人民为中心的发展思想，坚持问题导向、目标导向，统筹发展和安全，系统谋划、整体协同，精准补短板、强弱项，优化基础设施布局、结构、功能和系统集成，构建系统完备、高效实用、智能绿色、安全可靠的现代化基础设施体系”“提升产业链供应链现代化水平，坚持自主可控、安全高效，推进产业链供应链优化升级，强化要素支撑，完善产业链供应链发展环境”“推进数字技术与社会治理深度融合，建设智慧城市和数字乡村，打造智能化园区管理系统等数字基础设施，提升公共服务和社会治理数字化智能化水平”。本项目建设定制化厂房、园区道路、综合管网等基础设施，补全园区功能短板；建设智能化园区管理系统，推进数字技术在园区管理中的应用，完全契合上述要求。</w:t>
      </w:r>
    </w:p>
    <w:p w14:paraId="578F4C63">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 《“十四五”新材料产业发展规划》（工信部联规〔2021〕130号）指出：“优化产业空间布局，聚焦重点区域，依托现有产业基础和资源禀赋，打造一批具有国际竞争力的新材料产业集群；推进特色新材料产业园区建设，完善园区基础设施配套，提升园区承载能力，引导新材料企业向园区集聚，形成‘集群化发展、专业化分工、协同化创新’的产业格局；支持园区根据新材料产业特点，建设定制化厂房、专用物流设施、公共检测平台等基础设施，为企业提供‘拎包入住’的发展条件”。本项目作为化工新材料产业园基础设施项目，建设定制化厂房满足企业个性化生产需求，完善道路、管网等配套保障企业运营，符合规划对“特色新材料园区基础设施配套”的要求。</w:t>
      </w:r>
    </w:p>
    <w:p w14:paraId="6C41952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highlight w:val="none"/>
          <w:lang w:eastAsia="zh-CN"/>
        </w:rPr>
      </w:pPr>
      <w:r>
        <w:rPr>
          <w:rFonts w:hint="eastAsia" w:ascii="仿宋" w:hAnsi="仿宋" w:eastAsia="仿宋" w:cs="仿宋"/>
          <w:color w:val="auto"/>
          <w:sz w:val="28"/>
          <w:szCs w:val="28"/>
          <w:highlight w:val="none"/>
        </w:rPr>
        <w:t>3. 《国务院关于推进国家级经济技术开发区创新提升打造改革开放新高地的意见》（国发〔2019〕11号）要求：“支持国家级经开区建设特色产业园，提升产业集聚度；鼓励围绕主导产业开展产业链精准招商，引进上下游企业，完善产业配套；支持完善基础设施和公共服务平台，强化要素保障，推动主导产业高端化、智能化、绿色化发展”。雅安经开区作为国家级经济技术开发区，本项目聚焦化工新材料特色产业园基础设施建设，有助于提升产业集聚能力，符合该意见“建设特色产业园、完善基础设施”的部署。</w:t>
      </w:r>
    </w:p>
    <w:p w14:paraId="4560EB3D">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（二）四川省层面政策规划符合性</w:t>
      </w:r>
    </w:p>
    <w:p w14:paraId="74ABC4A7">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本项目与四川省“十四五”时期“制造强省”“新材料产业基地建设”及“园区提质增效”的目标高度契合，具体如下：</w:t>
      </w:r>
    </w:p>
    <w:p w14:paraId="2D8C0DD1">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 《四川省国民经济和社会发展第十四个五年规划和二〇三五年远景目标纲要》明确：“先进材料产业重点发展先进基础材料、关键战略材料、前沿新材料，建设全国重要的新材料产业基地，依托成都、德阳、绵阳、雅安等重点园区完善基础设施配套，提升产业集聚能力”“支持园区建设定制化厂房、道路、管网等基础设施，为企业提供良好发展环境”。本项目位于雅安经开区，聚焦化工新材料产业园区基础设施建设，直接呼应了省纲要关于“完善新材料园区基础设施、提升产业集聚能力”的要求。</w:t>
      </w:r>
    </w:p>
    <w:p w14:paraId="3505A36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 《四川省“十四五”工业和信息化发展规划》（川经信规划〔2021〕183号）提出：“推进产业园区提质增效，完善园区基础设施和公共服务平台，提升产业集聚能力；重点支持新材料等产业园区建设，包括道路、管网、电力、消防等基础设施，以及智能化管理系统，打造功能完善的产业载体”。本项目建设内容涵盖园区道路、综合管网、消防安防设施及智能化管理系统，完全符合该规划“完善新材料园区基础设施、打造功能载体”的部署。</w:t>
      </w:r>
    </w:p>
    <w:p w14:paraId="56C16C87">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highlight w:val="none"/>
          <w:lang w:eastAsia="zh-CN"/>
        </w:rPr>
      </w:pPr>
      <w:r>
        <w:rPr>
          <w:rFonts w:hint="eastAsia" w:ascii="仿宋" w:hAnsi="仿宋" w:eastAsia="仿宋" w:cs="仿宋"/>
          <w:color w:val="auto"/>
          <w:sz w:val="28"/>
          <w:szCs w:val="28"/>
          <w:highlight w:val="none"/>
        </w:rPr>
        <w:t>3. 《四川省“十四五”新材料产业发展规划》（川经信材料〔2021〕230号）要求：“依托成都、德阳、绵阳、雅安等重点园区打造新材料产业集群，加强园区基础设施配套，提升园区承载能力；支持雅安经开区等园区建设化工新材料产业园，完善定制化厂房、园区道路、综合管网、消防安防等基础设施”“支持园区完善道路、管网、电力、消防等基础设施，为新材料企业提供良好的发展环境”。本项目的建设内容与该规划对雅安经开区化工新材料园区的基础设施要求完全一致，是落实规划的具体项目。</w:t>
      </w:r>
    </w:p>
    <w:p w14:paraId="5B644B0C">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（三）市县级层面政策规划符合性</w:t>
      </w:r>
    </w:p>
    <w:p w14:paraId="3FFF6264">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本项目是雅安市及雅安经开区“十四五”时期培育新材料产业、打造产业集聚平台的核心支撑项目，具体如下：</w:t>
      </w:r>
    </w:p>
    <w:p w14:paraId="68FDE511">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 《雅安市国民经济和社会发展第十四个五年规划和二〇三五年远景目标纲要》提出：“培育壮大新材料产业，依托雅安经开区、天全经开区等园区，建设化工新材料、先进储能材料等特色产业园，完善园区道路、管网、厂房、消防等基础设施，提升园区承载能力，打造全市经济增长新引擎”。本项目作为雅安经开区化工新材料产业园的核心基础设施项目，直接服务于雅安市“培育新材料产业、打造增长新引擎”的目标。</w:t>
      </w:r>
    </w:p>
    <w:p w14:paraId="2D6D0660">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firstLine="560" w:firstLineChars="200"/>
        <w:jc w:val="both"/>
        <w:textAlignment w:val="auto"/>
        <w:rPr>
          <w:rFonts w:hint="eastAsia" w:ascii="仿宋" w:hAnsi="仿宋" w:eastAsia="仿宋" w:cs="仿宋"/>
          <w:b w:val="0"/>
          <w:bCs/>
          <w:color w:val="auto"/>
          <w:kern w:val="2"/>
          <w:sz w:val="28"/>
          <w:szCs w:val="28"/>
          <w:highlight w:val="none"/>
          <w:lang w:val="en-US" w:eastAsia="zh-CN"/>
        </w:rPr>
      </w:pPr>
      <w:r>
        <w:rPr>
          <w:rFonts w:hint="eastAsia" w:ascii="仿宋" w:hAnsi="仿宋" w:eastAsia="仿宋" w:cs="仿宋"/>
          <w:color w:val="auto"/>
          <w:sz w:val="28"/>
          <w:szCs w:val="28"/>
          <w:highlight w:val="none"/>
        </w:rPr>
        <w:t>2. 《雅安经济技术开发区“十四五”发展规划》（雅经开管委〔2021〕56号）明确：“重点发展化工新材料产业，依托现有产业基础，建设化工新材料产业园，规划占地约60亩，建设定制化厂房36000㎡，满足不同规模化工新材料企业的生产需求；完善园区道路4km、综合管网5km，保障企业物流和能源供应；建设消防安防设施及园区管理系统1套，提升园区安全管理和智能化水平，打造功能完善、配套齐全的化工新材料产业集聚平台”“按照‘产业集聚、功能完善、绿色智能’的原则，优化园区空间布局，完善基础设施配套，包括道路、管网、消防、安防等，打造智能化园区管理系统，提升园区管理效率和服务水平”。本项目的建设地点、规模、内容与该规划完全对应，是实现园区“十四五”化工新材料产业发展目标的关键举措。</w:t>
      </w:r>
    </w:p>
    <w:p w14:paraId="1524198F">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（二）项目情况</w:t>
      </w:r>
      <w:bookmarkEnd w:id="5"/>
      <w:bookmarkEnd w:id="6"/>
      <w:bookmarkEnd w:id="7"/>
      <w:bookmarkEnd w:id="8"/>
      <w:bookmarkEnd w:id="9"/>
      <w:bookmarkEnd w:id="10"/>
      <w:bookmarkEnd w:id="11"/>
      <w:bookmarkEnd w:id="12"/>
    </w:p>
    <w:p w14:paraId="4A3A4AF1">
      <w:pPr>
        <w:pStyle w:val="4"/>
        <w:outlineLvl w:val="9"/>
        <w:rPr>
          <w:rFonts w:hint="eastAsia" w:ascii="仿宋" w:hAnsi="仿宋" w:eastAsia="仿宋" w:cs="仿宋"/>
          <w:b/>
          <w:bCs/>
          <w:color w:val="auto"/>
          <w:sz w:val="32"/>
          <w:szCs w:val="32"/>
          <w:highlight w:val="none"/>
          <w:lang w:val="en-US" w:eastAsia="zh-CN"/>
        </w:rPr>
      </w:pPr>
      <w:bookmarkStart w:id="14" w:name="_Toc23988"/>
      <w:bookmarkStart w:id="15" w:name="_Toc7914"/>
      <w:bookmarkStart w:id="16" w:name="_Toc14119"/>
      <w:bookmarkStart w:id="17" w:name="_Toc6078"/>
      <w:bookmarkStart w:id="18" w:name="_Toc9265"/>
      <w:bookmarkStart w:id="19" w:name="_Toc11692"/>
      <w:bookmarkStart w:id="20" w:name="_Toc21872"/>
      <w:bookmarkStart w:id="21" w:name="_Toc1064"/>
      <w:r>
        <w:rPr>
          <w:rFonts w:hint="eastAsia" w:ascii="仿宋" w:hAnsi="仿宋" w:eastAsia="仿宋" w:cs="仿宋"/>
          <w:b/>
          <w:bCs/>
          <w:color w:val="auto"/>
          <w:sz w:val="32"/>
          <w:szCs w:val="32"/>
          <w:highlight w:val="none"/>
          <w:lang w:val="en-US" w:eastAsia="zh-CN"/>
        </w:rPr>
        <w:t>1.参与主体</w:t>
      </w:r>
      <w:bookmarkEnd w:id="14"/>
      <w:bookmarkEnd w:id="15"/>
      <w:bookmarkEnd w:id="16"/>
      <w:bookmarkEnd w:id="17"/>
      <w:bookmarkEnd w:id="18"/>
      <w:bookmarkEnd w:id="19"/>
      <w:bookmarkEnd w:id="20"/>
      <w:bookmarkEnd w:id="21"/>
    </w:p>
    <w:p w14:paraId="22F7D8A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实施机构：雅安市经济和信息化局</w:t>
      </w:r>
    </w:p>
    <w:p w14:paraId="59FC80F2">
      <w:pPr>
        <w:ind w:firstLine="560" w:firstLineChars="200"/>
        <w:rPr>
          <w:rFonts w:hint="eastAsia" w:ascii="仿宋" w:hAnsi="仿宋" w:eastAsia="仿宋" w:cs="仿宋"/>
          <w:b w:val="0"/>
          <w:bCs/>
          <w:color w:val="auto"/>
          <w:kern w:val="2"/>
          <w:sz w:val="28"/>
          <w:szCs w:val="28"/>
          <w:highlight w:val="none"/>
          <w:lang w:val="en-US" w:eastAsia="zh-CN"/>
        </w:rPr>
      </w:pPr>
      <w:r>
        <w:rPr>
          <w:rFonts w:hint="eastAsia" w:ascii="仿宋" w:hAnsi="仿宋" w:eastAsia="仿宋" w:cs="仿宋"/>
          <w:color w:val="auto"/>
          <w:sz w:val="28"/>
          <w:szCs w:val="28"/>
          <w:highlight w:val="none"/>
        </w:rPr>
        <w:t>业主单位：雅安经开区汇达管理服务有限公司</w:t>
      </w:r>
    </w:p>
    <w:p w14:paraId="1C74F9B5">
      <w:pPr>
        <w:pageBreakBefore w:val="0"/>
        <w:numPr>
          <w:ilvl w:val="2"/>
          <w:numId w:val="0"/>
        </w:numPr>
        <w:tabs>
          <w:tab w:val="left" w:pos="0"/>
        </w:tabs>
        <w:kinsoku/>
        <w:wordWrap/>
        <w:overflowPunct/>
        <w:topLinePunct w:val="0"/>
        <w:bidi w:val="0"/>
        <w:spacing w:before="381" w:after="190" w:line="360" w:lineRule="auto"/>
        <w:ind w:firstLine="643" w:firstLineChars="200"/>
        <w:outlineLvl w:val="9"/>
        <w:rPr>
          <w:rFonts w:hint="eastAsia" w:ascii="仿宋" w:hAnsi="仿宋" w:eastAsia="仿宋" w:cs="仿宋"/>
          <w:b/>
          <w:bCs/>
          <w:color w:val="auto"/>
          <w:kern w:val="0"/>
          <w:sz w:val="32"/>
          <w:szCs w:val="32"/>
          <w:highlight w:val="none"/>
          <w:lang w:val="en-US" w:eastAsia="zh-CN" w:bidi="ar-SA"/>
        </w:rPr>
      </w:pPr>
      <w:bookmarkStart w:id="22" w:name="_Toc22356"/>
      <w:bookmarkStart w:id="23" w:name="_Toc14972"/>
      <w:bookmarkStart w:id="24" w:name="_Toc30046"/>
      <w:bookmarkStart w:id="25" w:name="_Toc9122"/>
      <w:bookmarkStart w:id="26" w:name="_Toc4294"/>
      <w:bookmarkStart w:id="27" w:name="_Toc10923"/>
      <w:bookmarkStart w:id="28" w:name="_Toc16934"/>
      <w:bookmarkStart w:id="29" w:name="_Toc6630"/>
      <w:bookmarkStart w:id="30" w:name="_Toc5326"/>
      <w:r>
        <w:rPr>
          <w:rFonts w:hint="eastAsia" w:ascii="仿宋" w:hAnsi="仿宋" w:eastAsia="仿宋" w:cs="仿宋"/>
          <w:b/>
          <w:bCs/>
          <w:color w:val="auto"/>
          <w:kern w:val="0"/>
          <w:sz w:val="32"/>
          <w:szCs w:val="32"/>
          <w:highlight w:val="none"/>
          <w:lang w:val="en-US" w:eastAsia="zh-CN" w:bidi="ar-SA"/>
        </w:rPr>
        <w:t>2.项目概况</w:t>
      </w:r>
      <w:bookmarkEnd w:id="22"/>
      <w:bookmarkEnd w:id="23"/>
      <w:bookmarkEnd w:id="24"/>
      <w:bookmarkEnd w:id="25"/>
      <w:bookmarkEnd w:id="26"/>
      <w:bookmarkEnd w:id="27"/>
      <w:bookmarkEnd w:id="28"/>
      <w:bookmarkEnd w:id="29"/>
      <w:bookmarkEnd w:id="30"/>
    </w:p>
    <w:p w14:paraId="688D4779">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项目名称：雅安市经开区化工园区承载能力提升基础设施建设项目</w:t>
      </w:r>
    </w:p>
    <w:p w14:paraId="66C17C3B">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项目所属领域：市政和产业园区基础设施-产业园区基础设施</w:t>
      </w:r>
    </w:p>
    <w:p w14:paraId="0FE3B18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项目建设工期：24</w:t>
      </w:r>
      <w:r>
        <w:rPr>
          <w:rFonts w:hint="eastAsia" w:ascii="仿宋" w:hAnsi="仿宋" w:eastAsia="仿宋" w:cs="仿宋"/>
          <w:b w:val="0"/>
          <w:bCs w:val="0"/>
          <w:caps/>
          <w:color w:val="auto"/>
          <w:kern w:val="2"/>
          <w:sz w:val="28"/>
          <w:szCs w:val="28"/>
          <w:highlight w:val="none"/>
          <w:lang w:val="en-US" w:eastAsia="zh-CN" w:bidi="ar-SA"/>
        </w:rPr>
        <w:t>个月</w:t>
      </w:r>
    </w:p>
    <w:p w14:paraId="42479013">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项目区位：雅安经济技术开发区</w:t>
      </w:r>
    </w:p>
    <w:p w14:paraId="3CDCE952">
      <w:pPr>
        <w:keepNext w:val="0"/>
        <w:keepLines w:val="0"/>
        <w:pageBreakBefore w:val="0"/>
        <w:widowControl/>
        <w:suppressLineNumbers w:val="0"/>
        <w:kinsoku/>
        <w:wordWrap/>
        <w:overflowPunct/>
        <w:topLinePunct w:val="0"/>
        <w:autoSpaceDE/>
        <w:autoSpaceDN/>
        <w:bidi w:val="0"/>
        <w:adjustRightInd/>
        <w:snapToGrid/>
        <w:spacing w:after="180" w:afterAutospacing="0" w:line="360" w:lineRule="auto"/>
        <w:ind w:left="0" w:leftChars="0" w:firstLine="560" w:firstLineChars="200"/>
        <w:jc w:val="both"/>
        <w:textAlignment w:val="auto"/>
        <w:rPr>
          <w:rFonts w:hint="eastAsia" w:ascii="仿宋" w:hAnsi="仿宋" w:eastAsia="仿宋" w:cs="仿宋"/>
          <w:color w:val="auto"/>
          <w:highlight w:val="none"/>
        </w:rPr>
      </w:pPr>
      <w:r>
        <w:rPr>
          <w:rFonts w:hint="eastAsia" w:ascii="仿宋" w:hAnsi="仿宋" w:eastAsia="仿宋" w:cs="仿宋"/>
          <w:color w:val="auto"/>
          <w:sz w:val="28"/>
          <w:szCs w:val="28"/>
          <w:highlight w:val="none"/>
        </w:rPr>
        <w:t>项目说明：本项目为新建</w:t>
      </w:r>
      <w:r>
        <w:rPr>
          <w:rFonts w:hint="eastAsia" w:ascii="仿宋" w:hAnsi="仿宋" w:eastAsia="仿宋" w:cs="仿宋"/>
          <w:b w:val="0"/>
          <w:bCs w:val="0"/>
          <w:caps/>
          <w:color w:val="auto"/>
          <w:kern w:val="2"/>
          <w:sz w:val="28"/>
          <w:szCs w:val="28"/>
          <w:highlight w:val="none"/>
          <w:lang w:val="en-US" w:eastAsia="zh-CN" w:bidi="ar-SA"/>
        </w:rPr>
        <w:t>工程，资产无抵押或质押情况</w:t>
      </w:r>
    </w:p>
    <w:p w14:paraId="15C80D44">
      <w:pPr>
        <w:spacing w:before="156" w:after="156" w:line="240" w:lineRule="auto"/>
        <w:ind w:firstLine="560"/>
        <w:rPr>
          <w:rFonts w:hint="eastAsia" w:ascii="仿宋" w:hAnsi="仿宋" w:eastAsia="仿宋" w:cs="仿宋"/>
          <w:b w:val="0"/>
          <w:bCs w:val="0"/>
          <w:caps/>
          <w:color w:val="auto"/>
          <w:kern w:val="2"/>
          <w:sz w:val="28"/>
          <w:szCs w:val="28"/>
          <w:highlight w:val="none"/>
          <w:lang w:val="en-US" w:eastAsia="zh-CN" w:bidi="ar-SA"/>
        </w:rPr>
      </w:pPr>
      <w:r>
        <w:rPr>
          <w:rFonts w:hint="eastAsia" w:ascii="仿宋" w:hAnsi="仿宋" w:eastAsia="仿宋" w:cs="仿宋"/>
          <w:color w:val="auto"/>
          <w:sz w:val="28"/>
          <w:szCs w:val="28"/>
          <w:highlight w:val="none"/>
        </w:rPr>
        <w:t>建设内容：本项目占地约84亩，新建定制化厂房36000㎡；停车场10000㎡、充电桩90套，建设园区管理系统1套，配套建设园区道路4km、综合管网5km、消防安防等相关附属设施。</w:t>
      </w:r>
    </w:p>
    <w:bookmarkEnd w:id="13"/>
    <w:p w14:paraId="291727A8">
      <w:pPr>
        <w:numPr>
          <w:ilvl w:val="0"/>
          <w:numId w:val="0"/>
        </w:numPr>
        <w:spacing w:beforeLines="50" w:afterLines="50" w:line="360" w:lineRule="auto"/>
        <w:jc w:val="both"/>
        <w:outlineLvl w:val="0"/>
        <w:rPr>
          <w:rFonts w:hint="eastAsia" w:ascii="仿宋" w:hAnsi="仿宋" w:eastAsia="仿宋" w:cs="仿宋"/>
          <w:b/>
          <w:bCs/>
          <w:color w:val="auto"/>
          <w:sz w:val="32"/>
          <w:szCs w:val="32"/>
          <w:highlight w:val="none"/>
          <w:lang w:val="en-US" w:eastAsia="zh-CN"/>
        </w:rPr>
      </w:pPr>
      <w:bookmarkStart w:id="31" w:name="_Toc523481534"/>
      <w:bookmarkStart w:id="32" w:name="_Toc1720132"/>
      <w:bookmarkStart w:id="33" w:name="_Toc533440322"/>
      <w:bookmarkStart w:id="34" w:name="_Toc522211065"/>
      <w:bookmarkStart w:id="35" w:name="_Toc1403"/>
      <w:r>
        <w:rPr>
          <w:rFonts w:hint="eastAsia" w:ascii="仿宋" w:hAnsi="仿宋" w:eastAsia="仿宋" w:cs="仿宋"/>
          <w:b/>
          <w:bCs/>
          <w:color w:val="auto"/>
          <w:sz w:val="32"/>
          <w:szCs w:val="32"/>
          <w:highlight w:val="none"/>
          <w:lang w:val="en-US" w:eastAsia="zh-CN"/>
        </w:rPr>
        <w:t>二、经济社会效益分析</w:t>
      </w:r>
      <w:bookmarkEnd w:id="31"/>
      <w:bookmarkEnd w:id="32"/>
      <w:bookmarkEnd w:id="33"/>
      <w:bookmarkEnd w:id="34"/>
      <w:bookmarkEnd w:id="35"/>
    </w:p>
    <w:p w14:paraId="10AA192E">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color w:val="auto"/>
          <w:sz w:val="32"/>
          <w:szCs w:val="32"/>
          <w:highlight w:val="none"/>
          <w:lang w:val="en-US"/>
        </w:rPr>
      </w:pPr>
      <w:bookmarkStart w:id="36" w:name="_Toc17794"/>
      <w:bookmarkStart w:id="37" w:name="_Toc522211066"/>
      <w:bookmarkStart w:id="38" w:name="_Toc1720133"/>
      <w:bookmarkStart w:id="39" w:name="_Toc533440323"/>
      <w:bookmarkStart w:id="40" w:name="_Toc523481535"/>
      <w:r>
        <w:rPr>
          <w:rFonts w:hint="eastAsia" w:ascii="仿宋" w:hAnsi="仿宋" w:eastAsia="仿宋" w:cs="仿宋"/>
          <w:b/>
          <w:bCs/>
          <w:color w:val="auto"/>
          <w:sz w:val="32"/>
          <w:szCs w:val="32"/>
          <w:highlight w:val="none"/>
          <w:lang w:val="en-US"/>
        </w:rPr>
        <w:t>（一）经济效益分析</w:t>
      </w:r>
      <w:bookmarkEnd w:id="36"/>
      <w:bookmarkEnd w:id="37"/>
      <w:bookmarkEnd w:id="38"/>
      <w:bookmarkEnd w:id="39"/>
      <w:bookmarkEnd w:id="40"/>
    </w:p>
    <w:p w14:paraId="18BC3178">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bookmarkStart w:id="41" w:name="_Toc1720136"/>
      <w:bookmarkStart w:id="42" w:name="_Toc523157055"/>
      <w:bookmarkStart w:id="43" w:name="_Toc533440326"/>
      <w:bookmarkStart w:id="44" w:name="_Toc23271"/>
      <w:bookmarkStart w:id="45" w:name="_Toc523481538"/>
      <w:r>
        <w:rPr>
          <w:rFonts w:hint="eastAsia" w:ascii="仿宋" w:hAnsi="仿宋" w:eastAsia="仿宋" w:cs="仿宋"/>
          <w:color w:val="auto"/>
          <w:sz w:val="28"/>
          <w:szCs w:val="28"/>
          <w:highlight w:val="none"/>
        </w:rPr>
        <w:t xml:space="preserve">1 项目自身运营收益的可持续保障  </w:t>
      </w:r>
    </w:p>
    <w:p w14:paraId="132D50A1">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本项目新建的定制化厂房、停车场及充电桩等设施，投用后将通过多元化收入结构形成稳定现金流。36000㎡定制化厂房匹配化工企业生产需求，提升出租吸引力；10000㎡停车场服务园区企业员工通勤，90套充电桩适配新能源车辆补给需求，三者协同构建“厂房出租+配套服务”的收入体系，为业主单位雅安经开区汇达水务发展有限公司提供持续运营收益，支撑项目投资回收与长期运营可持续性。  </w:t>
      </w:r>
    </w:p>
    <w:p w14:paraId="5D3DA2CD">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2 入园企业运营成本的精准降低  </w:t>
      </w:r>
    </w:p>
    <w:p w14:paraId="71AE2930">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项目配套的定制化厂房让企业无需自行建设生产场地，直接节省前期土地征用、厂房建设等大额固定成本；园区道路、综合管网等基础设施完善，减少企业内部配套投入；停车场、充电桩等便民设施解决员工通勤与能源补给问题，降低企业后勤保障成本。这些配套服务帮助企业聚焦核心生产环节，间接提升运营效率与市场竞争力。  </w:t>
      </w:r>
    </w:p>
    <w:p w14:paraId="4BD28782">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3 区域化工产业集聚的加速形成  </w:t>
      </w:r>
    </w:p>
    <w:p w14:paraId="3D18EC7A">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通过提升园区承载能力，以定制化厂房满足化工企业个性化生产需求，以完善的道路、管网、消防安防等设施补齐功能短板，增强对优质化工及上下游企业的吸引力。更多企业入驻将推动产业集群化发展，企业间可共享供应链、技术与人才资源，缩短协作距离，降低物流与沟通成本，推动区域化工产业向规模化、专业化升级，提升园区产业能级与区域经济核心竞争力。</w:t>
      </w:r>
    </w:p>
    <w:p w14:paraId="267564D7">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 xml:space="preserve">4 地方经济与财政的长期协同增长  </w:t>
      </w:r>
    </w:p>
    <w:p w14:paraId="47864C4F">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color w:val="auto"/>
          <w:sz w:val="28"/>
          <w:szCs w:val="28"/>
          <w:highlight w:val="none"/>
        </w:rPr>
        <w:t>项目运营后，自身产生的运营税收（如房产税、增值税等）为地方财政提供持续贡献；入园企业增多带来企业所得税、增值税等税收增量，同时带动上下游产业发展，延伸产业链条。此外，产业集聚创造的就业岗位提升居民收入，拉动消费需求，促进服务业等关联产业增长，形成“项目运营—企业入驻—就业增加—消费升级—财政增长”的正向循环，长期支撑雅安市经开区经济总量扩张与财政实力提升。。</w:t>
      </w:r>
    </w:p>
    <w:p w14:paraId="19A655E9">
      <w:pPr>
        <w:pageBreakBefore w:val="0"/>
        <w:widowControl w:val="0"/>
        <w:kinsoku/>
        <w:wordWrap/>
        <w:overflowPunct/>
        <w:topLinePunct w:val="0"/>
        <w:autoSpaceDE/>
        <w:autoSpaceDN/>
        <w:bidi w:val="0"/>
        <w:adjustRightInd/>
        <w:snapToGrid/>
        <w:spacing w:beforeLines="50" w:afterLines="50" w:line="360" w:lineRule="auto"/>
        <w:jc w:val="both"/>
        <w:textAlignment w:val="auto"/>
        <w:outlineLvl w:val="9"/>
        <w:rPr>
          <w:rFonts w:hint="eastAsia" w:ascii="仿宋" w:hAnsi="仿宋" w:eastAsia="仿宋" w:cs="仿宋"/>
          <w:b/>
          <w:bCs/>
          <w:color w:val="auto"/>
          <w:sz w:val="32"/>
          <w:szCs w:val="32"/>
          <w:highlight w:val="none"/>
          <w:lang w:val="en-US"/>
        </w:rPr>
      </w:pP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val="en-US"/>
        </w:rPr>
        <w:t>社会效益分析</w:t>
      </w:r>
      <w:bookmarkEnd w:id="41"/>
      <w:bookmarkEnd w:id="42"/>
      <w:bookmarkEnd w:id="43"/>
      <w:bookmarkEnd w:id="44"/>
      <w:bookmarkEnd w:id="45"/>
    </w:p>
    <w:p w14:paraId="2DD09D2B">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bookmarkStart w:id="46" w:name="_Toc19320"/>
      <w:r>
        <w:rPr>
          <w:rFonts w:hint="eastAsia" w:ascii="仿宋" w:hAnsi="仿宋" w:eastAsia="仿宋" w:cs="仿宋"/>
          <w:color w:val="auto"/>
          <w:sz w:val="28"/>
          <w:szCs w:val="28"/>
          <w:highlight w:val="none"/>
        </w:rPr>
        <w:t>1 提升化工园区承载能力，强化产业集聚支撑。本项目新建36000㎡定制化厂房，针对性解决雅安经开区化工园区企业落地“载体短缺”问题，匹配精细化工、新材料等产业对标准化、专业化生产空间的需求；配套4km园区道路及5km综合管网，打通物流运输“最后一公里”，完善水电、燃气、污水收集等要素保障体系，有效突破园区现有产业承载瓶颈。项目实施后，将补齐园区基础设施短板，增强对优质化工企业的吸引力，推动产业向园区集中、资源向产业集聚，促进产业链上下游协同配套，为雅安经开区打造特色化工产业集群奠定坚实基础。</w:t>
      </w:r>
    </w:p>
    <w:p w14:paraId="56C0E3E4">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 完善园区配套服务功能，优化营商环境品质。项目建设10000㎡停车场及90套充电桩，解决企业员工及访客“停车难、充电不便”问题，提升园区生活服务便利性；搭建园区管理系统并配套消防安防设施，通过智慧化整合安全监控、应急处置、运营管理等功能，提高园区管理效率与响应速度，降低企业运营安全风险。这些配套设施的落地，将进一步健全园区“硬环境”支撑，增强企业归属感与投资信心，助力园区打造“宜业、安业”的营商环境，提升区域产业竞争力与招商吸引力。</w:t>
      </w:r>
    </w:p>
    <w:p w14:paraId="7C6CBFE3">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 推动绿色低碳转型，践行生态文明理念。项目建设充电桩设施，响应“双碳”目标，推动园区交通领域电气化转型，减少传统燃油车辆碳排放；综合管网工程规范雨污分流、工业废水收集与输送系统，避免化工废水无序排放，提升资源循环利用效率；消防安防设施智能化升级，强化安全隐患预判与应急处置能力，降低事故对生态环境及公众安全的影响。契合雅安市“生态立市”发展战略，项目通过绿色基础设施建设，推动化工园区向“绿色、安全、高效”转型，助力区域生态文明建设与可持续发展。</w:t>
      </w:r>
    </w:p>
    <w:p w14:paraId="6592CC82">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jc w:val="both"/>
        <w:textAlignment w:val="auto"/>
        <w:outlineLvl w:val="9"/>
        <w:rPr>
          <w:rFonts w:hint="eastAsia" w:ascii="仿宋" w:hAnsi="仿宋" w:eastAsia="仿宋" w:cs="仿宋"/>
          <w:color w:val="auto"/>
          <w:highlight w:val="none"/>
        </w:rPr>
      </w:pPr>
      <w:r>
        <w:rPr>
          <w:rFonts w:hint="eastAsia" w:ascii="仿宋" w:hAnsi="仿宋" w:eastAsia="仿宋" w:cs="仿宋"/>
          <w:color w:val="auto"/>
          <w:sz w:val="28"/>
          <w:szCs w:val="28"/>
          <w:highlight w:val="none"/>
        </w:rPr>
        <w:t>4 促进就业增收与经济联动，助力区域协同发展。项目建设期间，将带动建筑施工、建材供应、工程机械等行业就业，创造短期就业岗位；建成后，定制化厂房入驻企业将提供生产、技术、管理等长期就业岗位，吸纳本地劳动力就业，增加居民工资性收入。同时，园区产业集聚将拉动周边物流、餐饮、维修等配套服务业发展，形成“园区-企业-周边产业”的联动效应，激发区域消费活力。此外，专项债资金投入形成有效投资，将激活雅安经开区经济活力，助力雅安市构建现代产业体系，推动区域经济高质量发展与城乡融合。。</w:t>
      </w:r>
    </w:p>
    <w:p w14:paraId="337FDA26">
      <w:pPr>
        <w:numPr>
          <w:ilvl w:val="0"/>
          <w:numId w:val="0"/>
        </w:numPr>
        <w:spacing w:beforeLines="50" w:afterLines="50" w:line="360" w:lineRule="auto"/>
        <w:jc w:val="both"/>
        <w:outlineLvl w:val="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三、项目投资估算与资金筹措方案</w:t>
      </w:r>
      <w:bookmarkEnd w:id="46"/>
    </w:p>
    <w:p w14:paraId="223BBFD9">
      <w:pPr>
        <w:spacing w:beforeLines="50" w:afterLines="50" w:line="360" w:lineRule="auto"/>
        <w:outlineLvl w:val="9"/>
        <w:rPr>
          <w:rFonts w:hint="eastAsia" w:ascii="仿宋" w:hAnsi="仿宋" w:eastAsia="仿宋" w:cs="仿宋"/>
          <w:b/>
          <w:bCs/>
          <w:color w:val="auto"/>
          <w:sz w:val="32"/>
          <w:szCs w:val="32"/>
          <w:highlight w:val="none"/>
        </w:rPr>
      </w:pPr>
      <w:bookmarkStart w:id="47" w:name="_Toc1720145"/>
      <w:bookmarkStart w:id="48" w:name="_Toc523481542"/>
      <w:bookmarkStart w:id="49" w:name="_Toc5108"/>
      <w:bookmarkStart w:id="50" w:name="_Toc522211078"/>
      <w:bookmarkStart w:id="51" w:name="_Toc523157062"/>
      <w:bookmarkStart w:id="52" w:name="_Toc533440335"/>
      <w:r>
        <w:rPr>
          <w:rFonts w:hint="eastAsia" w:ascii="仿宋" w:hAnsi="仿宋" w:eastAsia="仿宋" w:cs="仿宋"/>
          <w:b/>
          <w:bCs/>
          <w:color w:val="auto"/>
          <w:sz w:val="32"/>
          <w:szCs w:val="32"/>
          <w:highlight w:val="none"/>
        </w:rPr>
        <w:t>（一）投资估算</w:t>
      </w:r>
      <w:bookmarkEnd w:id="47"/>
      <w:bookmarkEnd w:id="48"/>
      <w:bookmarkEnd w:id="49"/>
      <w:bookmarkEnd w:id="50"/>
      <w:bookmarkEnd w:id="51"/>
      <w:bookmarkEnd w:id="52"/>
    </w:p>
    <w:p w14:paraId="2215D57E">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outlineLvl w:val="9"/>
        <w:rPr>
          <w:rFonts w:hint="eastAsia" w:ascii="仿宋" w:hAnsi="仿宋" w:eastAsia="仿宋" w:cs="仿宋"/>
          <w:color w:val="auto"/>
          <w:sz w:val="28"/>
          <w:szCs w:val="28"/>
          <w:highlight w:val="none"/>
        </w:rPr>
      </w:pPr>
      <w:bookmarkStart w:id="53" w:name="_Toc23109"/>
      <w:r>
        <w:rPr>
          <w:rFonts w:hint="eastAsia" w:ascii="仿宋" w:hAnsi="仿宋" w:eastAsia="仿宋" w:cs="仿宋"/>
          <w:color w:val="auto"/>
          <w:sz w:val="28"/>
          <w:szCs w:val="28"/>
          <w:highlight w:val="none"/>
        </w:rPr>
        <w:t>本项目投资总额为16000.00万元，静态总投资为15560.00 万元。其中，工程费用13526.61 万元；工程建设其他费用1292.44 万元；预备费740.95 万元。建设期利息429.00 万元；债券发行费用11.00 万元。</w:t>
      </w:r>
      <w:bookmarkStart w:id="88" w:name="_GoBack"/>
      <w:bookmarkEnd w:id="88"/>
    </w:p>
    <w:p w14:paraId="6ABCD9A8">
      <w:pPr>
        <w:spacing w:beforeLines="50" w:afterLines="50" w:line="360" w:lineRule="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（二）资金筹措方案</w:t>
      </w:r>
      <w:bookmarkEnd w:id="53"/>
    </w:p>
    <w:p w14:paraId="0DA2C863">
      <w:pPr>
        <w:numPr>
          <w:ilvl w:val="2"/>
          <w:numId w:val="0"/>
        </w:numPr>
        <w:spacing w:before="240" w:after="120"/>
        <w:outlineLvl w:val="9"/>
        <w:rPr>
          <w:rFonts w:hint="eastAsia" w:ascii="仿宋" w:hAnsi="仿宋" w:eastAsia="仿宋" w:cs="仿宋"/>
          <w:b/>
          <w:bCs/>
          <w:color w:val="auto"/>
          <w:sz w:val="32"/>
          <w:szCs w:val="32"/>
          <w:highlight w:val="none"/>
        </w:rPr>
      </w:pPr>
      <w:bookmarkStart w:id="54" w:name="_Toc533440340"/>
      <w:bookmarkStart w:id="55" w:name="_Toc523157067"/>
      <w:bookmarkStart w:id="56" w:name="_Toc20821"/>
      <w:bookmarkStart w:id="57" w:name="_Toc523481547"/>
      <w:bookmarkStart w:id="58" w:name="_Toc1720150"/>
      <w:bookmarkStart w:id="59" w:name="_Toc522211083"/>
      <w:bookmarkStart w:id="60" w:name="_Toc19703"/>
      <w:r>
        <w:rPr>
          <w:rFonts w:hint="eastAsia" w:ascii="仿宋" w:hAnsi="仿宋" w:eastAsia="仿宋" w:cs="仿宋"/>
          <w:b/>
          <w:bCs/>
          <w:color w:val="auto"/>
          <w:sz w:val="32"/>
          <w:szCs w:val="32"/>
          <w:highlight w:val="none"/>
        </w:rPr>
        <w:t>1.资金来源</w:t>
      </w:r>
      <w:bookmarkEnd w:id="54"/>
      <w:bookmarkEnd w:id="55"/>
      <w:bookmarkEnd w:id="56"/>
      <w:bookmarkEnd w:id="57"/>
      <w:bookmarkEnd w:id="58"/>
      <w:bookmarkEnd w:id="59"/>
      <w:bookmarkEnd w:id="60"/>
    </w:p>
    <w:p w14:paraId="43B28A52">
      <w:pPr>
        <w:pStyle w:val="13"/>
        <w:ind w:firstLine="56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本项目资本金来源：资本金均来源于业主自筹，项目资本金5000.00 万元，占项目总投资的31.25%。</w:t>
      </w:r>
    </w:p>
    <w:p w14:paraId="5C681A2F">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r>
        <w:rPr>
          <w:rFonts w:hint="eastAsia" w:ascii="仿宋" w:hAnsi="仿宋" w:eastAsia="仿宋" w:cs="仿宋"/>
          <w:color w:val="auto"/>
          <w:sz w:val="28"/>
          <w:szCs w:val="28"/>
          <w:highlight w:val="none"/>
        </w:rPr>
        <w:t>融资来源：本项目拟发行专项债券总额11000.00 万元，占总投资比例为68.75%，其中：第1年申请发行专项债券5500.00万元,第2年申请发行专项债券5500.00万元，债券利率按2.60%测算，发行年限30年，发行费用为面值的1‰。</w:t>
      </w:r>
    </w:p>
    <w:p w14:paraId="1FC3B616">
      <w:pPr>
        <w:numPr>
          <w:ilvl w:val="0"/>
          <w:numId w:val="1"/>
        </w:numPr>
        <w:spacing w:before="240" w:after="120"/>
        <w:ind w:left="0" w:leftChars="0" w:firstLine="0" w:firstLineChars="0"/>
        <w:outlineLvl w:val="9"/>
        <w:rPr>
          <w:rFonts w:hint="eastAsia" w:ascii="仿宋" w:hAnsi="仿宋" w:eastAsia="仿宋" w:cs="仿宋"/>
          <w:b/>
          <w:bCs/>
          <w:color w:val="auto"/>
          <w:sz w:val="32"/>
          <w:szCs w:val="32"/>
          <w:highlight w:val="none"/>
        </w:rPr>
      </w:pPr>
      <w:bookmarkStart w:id="61" w:name="_Toc1720152"/>
      <w:bookmarkStart w:id="62" w:name="_Toc523481549"/>
      <w:bookmarkStart w:id="63" w:name="_Toc533440342"/>
      <w:bookmarkStart w:id="64" w:name="_Toc523157069"/>
      <w:bookmarkStart w:id="65" w:name="_Toc25776"/>
      <w:r>
        <w:rPr>
          <w:rFonts w:hint="eastAsia" w:ascii="仿宋" w:hAnsi="仿宋" w:eastAsia="仿宋" w:cs="仿宋"/>
          <w:b/>
          <w:bCs/>
          <w:color w:val="auto"/>
          <w:sz w:val="32"/>
          <w:szCs w:val="32"/>
          <w:highlight w:val="none"/>
        </w:rPr>
        <w:t>资金使用计划</w:t>
      </w:r>
      <w:bookmarkEnd w:id="61"/>
      <w:bookmarkEnd w:id="62"/>
      <w:bookmarkEnd w:id="63"/>
      <w:bookmarkEnd w:id="64"/>
      <w:bookmarkEnd w:id="65"/>
    </w:p>
    <w:p w14:paraId="53C58122">
      <w:pPr>
        <w:spacing w:beforeLines="50" w:afterLines="50" w:line="360" w:lineRule="auto"/>
        <w:ind w:firstLine="560" w:firstLineChars="200"/>
        <w:jc w:val="both"/>
        <w:outlineLvl w:val="9"/>
        <w:rPr>
          <w:rFonts w:hint="eastAsia" w:ascii="仿宋" w:hAnsi="仿宋" w:eastAsia="仿宋" w:cs="仿宋"/>
          <w:color w:val="auto"/>
          <w:kern w:val="2"/>
          <w:sz w:val="28"/>
          <w:szCs w:val="28"/>
          <w:highlight w:val="none"/>
          <w:lang w:val="en-US" w:eastAsia="zh-CN"/>
        </w:rPr>
      </w:pPr>
      <w:bookmarkStart w:id="66" w:name="_Toc9196"/>
      <w:r>
        <w:rPr>
          <w:rFonts w:hint="eastAsia" w:ascii="仿宋" w:hAnsi="仿宋" w:eastAsia="仿宋" w:cs="仿宋"/>
          <w:color w:val="auto"/>
          <w:kern w:val="2"/>
          <w:sz w:val="28"/>
          <w:szCs w:val="28"/>
          <w:highlight w:val="none"/>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总投资计划分2</w:t>
      </w:r>
      <w:r>
        <w:rPr>
          <w:rFonts w:hint="eastAsia" w:ascii="仿宋" w:hAnsi="仿宋" w:eastAsia="仿宋" w:cs="仿宋"/>
          <w:color w:val="auto"/>
          <w:kern w:val="2"/>
          <w:sz w:val="28"/>
          <w:szCs w:val="28"/>
          <w:highlight w:val="none"/>
          <w:lang w:eastAsia="zh-CN"/>
        </w:rPr>
        <w:t>个年度投入。</w:t>
      </w:r>
    </w:p>
    <w:p w14:paraId="74A862DC">
      <w:pPr>
        <w:spacing w:beforeLines="50" w:afterLines="50" w:line="360" w:lineRule="auto"/>
        <w:jc w:val="both"/>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四、项目预期收益、成本及融资平衡情况</w:t>
      </w:r>
      <w:bookmarkEnd w:id="66"/>
    </w:p>
    <w:p w14:paraId="4DD2D399">
      <w:pPr>
        <w:spacing w:beforeLines="50" w:afterLines="50" w:line="360" w:lineRule="auto"/>
        <w:outlineLvl w:val="9"/>
        <w:rPr>
          <w:rFonts w:hint="eastAsia" w:ascii="仿宋" w:hAnsi="仿宋" w:eastAsia="仿宋" w:cs="仿宋"/>
          <w:b/>
          <w:bCs/>
          <w:color w:val="auto"/>
          <w:sz w:val="32"/>
          <w:szCs w:val="32"/>
          <w:highlight w:val="none"/>
        </w:rPr>
      </w:pPr>
      <w:bookmarkStart w:id="67" w:name="_Toc27170"/>
      <w:bookmarkStart w:id="68" w:name="_Toc523481552"/>
      <w:bookmarkStart w:id="69" w:name="_Toc1720155"/>
      <w:bookmarkStart w:id="70" w:name="_Toc522211088"/>
      <w:bookmarkStart w:id="71" w:name="_Toc533440345"/>
      <w:bookmarkStart w:id="72" w:name="_Toc523157072"/>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一</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预期收益</w:t>
      </w:r>
      <w:bookmarkEnd w:id="67"/>
      <w:bookmarkEnd w:id="68"/>
      <w:bookmarkEnd w:id="69"/>
      <w:bookmarkEnd w:id="70"/>
      <w:bookmarkEnd w:id="71"/>
      <w:bookmarkEnd w:id="72"/>
    </w:p>
    <w:p w14:paraId="1657FCAB">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1.项目收入</w:t>
      </w:r>
    </w:p>
    <w:p w14:paraId="432E7C46">
      <w:pPr>
        <w:spacing w:beforeLines="50" w:afterLines="50" w:line="360" w:lineRule="auto"/>
        <w:ind w:firstLine="560" w:firstLineChars="200"/>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本项目收入全部为项目本身产生的专项收入，项目收入主要包括厂房出租收入、停车位收入、充电桩收入。经计算，预测收入为31530.21 </w:t>
      </w:r>
      <w:r>
        <w:rPr>
          <w:rFonts w:hint="eastAsia" w:ascii="仿宋" w:hAnsi="仿宋" w:eastAsia="仿宋" w:cs="仿宋"/>
          <w:color w:val="auto"/>
          <w:sz w:val="28"/>
          <w:szCs w:val="28"/>
          <w:highlight w:val="none"/>
          <w:lang w:val="en-US" w:eastAsia="zh-CN"/>
        </w:rPr>
        <w:t>万元。</w:t>
      </w:r>
    </w:p>
    <w:p w14:paraId="279F9EDE">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2.成本预测</w:t>
      </w:r>
    </w:p>
    <w:p w14:paraId="28AE3A77">
      <w:pPr>
        <w:spacing w:beforeLines="50" w:afterLines="50" w:line="360" w:lineRule="auto"/>
        <w:ind w:firstLine="560" w:firstLineChars="200"/>
        <w:outlineLvl w:val="9"/>
        <w:rPr>
          <w:rFonts w:hint="eastAsia" w:ascii="仿宋" w:hAnsi="仿宋" w:eastAsia="仿宋" w:cs="仿宋"/>
          <w:b w:val="0"/>
          <w:bCs w:val="0"/>
          <w:color w:val="auto"/>
          <w:sz w:val="28"/>
          <w:szCs w:val="28"/>
          <w:highlight w:val="none"/>
          <w:lang w:val="en-US" w:eastAsia="zh-CN"/>
        </w:rPr>
      </w:pPr>
      <w:bookmarkStart w:id="73" w:name="_Toc373"/>
      <w:r>
        <w:rPr>
          <w:rFonts w:hint="eastAsia" w:ascii="仿宋" w:hAnsi="仿宋" w:eastAsia="仿宋" w:cs="仿宋"/>
          <w:b w:val="0"/>
          <w:bCs w:val="0"/>
          <w:color w:val="auto"/>
          <w:sz w:val="28"/>
          <w:szCs w:val="28"/>
          <w:highlight w:val="none"/>
          <w:lang w:val="en-US" w:eastAsia="zh-CN"/>
        </w:rPr>
        <w:t xml:space="preserve">项目营业成本、固定资产折旧费、财务费用、税金及附加。预测项目总成本费用为27217.41 </w:t>
      </w:r>
      <w:r>
        <w:rPr>
          <w:rFonts w:hint="eastAsia" w:ascii="仿宋" w:hAnsi="仿宋" w:eastAsia="仿宋" w:cs="仿宋"/>
          <w:b w:val="0"/>
          <w:bCs w:val="0"/>
          <w:color w:val="auto"/>
          <w:sz w:val="28"/>
          <w:szCs w:val="28"/>
          <w:highlight w:val="none"/>
          <w:lang w:val="en-US" w:eastAsia="zh-CN"/>
        </w:rPr>
        <w:t>万元。</w:t>
      </w:r>
    </w:p>
    <w:p w14:paraId="72540912">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3.项目损益</w:t>
      </w:r>
      <w:bookmarkEnd w:id="73"/>
    </w:p>
    <w:p w14:paraId="76C00B2D">
      <w:pPr>
        <w:keepNext w:val="0"/>
        <w:keepLines w:val="0"/>
        <w:pageBreakBefore w:val="0"/>
        <w:widowControl w:val="0"/>
        <w:kinsoku/>
        <w:wordWrap/>
        <w:overflowPunct/>
        <w:topLinePunct w:val="0"/>
        <w:autoSpaceDE/>
        <w:autoSpaceDN/>
        <w:bidi w:val="0"/>
        <w:adjustRightInd/>
        <w:snapToGrid/>
        <w:spacing w:beforeLines="50" w:afterLines="50" w:line="360" w:lineRule="auto"/>
        <w:ind w:firstLine="560" w:firstLineChars="200"/>
        <w:textAlignment w:val="auto"/>
        <w:outlineLvl w:val="9"/>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综合上述专项收入、经营成本费用的估算，本项目在债券存继期内运营总不含税收入预计为31530.21 万元，总成本预计为27217.41 万元，累计净利润为3216.80 万元，本项目息前净现金流量累计22016.57 万元，财务费用为19580.00 万元，本项目收入净现金流覆盖全部融资本息倍数为1.12 倍</w:t>
      </w:r>
      <w:r>
        <w:rPr>
          <w:rFonts w:hint="eastAsia" w:ascii="仿宋" w:hAnsi="仿宋" w:eastAsia="仿宋" w:cs="仿宋"/>
          <w:color w:val="auto"/>
          <w:kern w:val="2"/>
          <w:sz w:val="28"/>
          <w:szCs w:val="28"/>
          <w:highlight w:val="none"/>
          <w:lang w:val="en-US" w:eastAsia="zh-CN" w:bidi="ar-SA"/>
        </w:rPr>
        <w:t>。</w:t>
      </w:r>
    </w:p>
    <w:p w14:paraId="1FBF8ECC">
      <w:pPr>
        <w:spacing w:beforeLines="50" w:afterLines="50" w:line="360" w:lineRule="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资金测算平衡情况</w:t>
      </w:r>
    </w:p>
    <w:p w14:paraId="534C859A">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bookmarkStart w:id="74" w:name="_Toc1381"/>
      <w:bookmarkStart w:id="75" w:name="_Toc20333"/>
      <w:bookmarkStart w:id="76" w:name="_Toc18760766"/>
      <w:bookmarkStart w:id="77" w:name="_Toc24256"/>
      <w:r>
        <w:rPr>
          <w:rFonts w:hint="eastAsia" w:ascii="仿宋" w:hAnsi="仿宋" w:eastAsia="仿宋" w:cs="仿宋"/>
          <w:b/>
          <w:bCs/>
          <w:color w:val="auto"/>
          <w:sz w:val="32"/>
          <w:szCs w:val="32"/>
          <w:highlight w:val="none"/>
          <w:lang w:val="en-US" w:eastAsia="zh-CN"/>
        </w:rPr>
        <w:t>1.项目还本付息计划</w:t>
      </w:r>
      <w:bookmarkEnd w:id="74"/>
      <w:bookmarkEnd w:id="75"/>
      <w:bookmarkEnd w:id="76"/>
      <w:bookmarkEnd w:id="77"/>
    </w:p>
    <w:p w14:paraId="24C2C29D">
      <w:pPr>
        <w:spacing w:beforeLines="50" w:afterLines="50" w:line="360" w:lineRule="auto"/>
        <w:ind w:firstLine="560" w:firstLineChars="200"/>
        <w:outlineLvl w:val="9"/>
        <w:rPr>
          <w:rFonts w:hint="eastAsia" w:ascii="仿宋" w:hAnsi="仿宋" w:eastAsia="仿宋" w:cs="仿宋"/>
          <w:bCs/>
          <w:color w:val="auto"/>
          <w:sz w:val="28"/>
          <w:szCs w:val="28"/>
          <w:highlight w:val="none"/>
        </w:rPr>
      </w:pPr>
      <w:bookmarkStart w:id="78" w:name="_Toc13883"/>
      <w:bookmarkStart w:id="79" w:name="_Toc18760767"/>
      <w:bookmarkStart w:id="80" w:name="_Toc15443"/>
      <w:bookmarkStart w:id="81" w:name="_Toc12782"/>
      <w:r>
        <w:rPr>
          <w:rFonts w:hint="eastAsia" w:ascii="仿宋" w:hAnsi="仿宋" w:eastAsia="仿宋" w:cs="仿宋"/>
          <w:bCs/>
          <w:color w:val="auto"/>
          <w:sz w:val="28"/>
          <w:szCs w:val="28"/>
          <w:highlight w:val="none"/>
        </w:rPr>
        <w:t>本项目发行债券需支付的利息，按照2.60%利率计算，债券发行期限为30年。假设在年初发行债券，每半年付息一次，期满一次偿还本金和最后一笔利息。债券存续期内累计需支付利息8580.00 万元，其中：专项债券建设期利息计429.00 万元计入建设投资，专项债券在运营期间产生的利息费用8151.00 万元。</w:t>
      </w:r>
    </w:p>
    <w:p w14:paraId="13DD1874">
      <w:pPr>
        <w:spacing w:beforeLines="50" w:afterLines="50" w:line="360" w:lineRule="auto"/>
        <w:ind w:firstLine="643" w:firstLineChars="200"/>
        <w:outlineLvl w:val="9"/>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2.项目资金平衡情况</w:t>
      </w:r>
      <w:bookmarkEnd w:id="78"/>
      <w:bookmarkEnd w:id="79"/>
      <w:bookmarkEnd w:id="80"/>
      <w:bookmarkEnd w:id="81"/>
    </w:p>
    <w:p w14:paraId="796BF2E8">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sectPr>
          <w:headerReference r:id="rId3" w:type="default"/>
          <w:footerReference r:id="rId4" w:type="default"/>
          <w:pgSz w:w="11906" w:h="16838"/>
          <w:pgMar w:top="1440" w:right="1800" w:bottom="1440" w:left="1800" w:header="851" w:footer="992" w:gutter="0"/>
          <w:pgNumType w:fmt="decimal"/>
          <w:cols w:space="425" w:num="1"/>
          <w:docGrid w:type="lines" w:linePitch="326" w:charSpace="0"/>
        </w:sectPr>
      </w:pPr>
      <w:r>
        <w:rPr>
          <w:rFonts w:hint="eastAsia" w:ascii="仿宋" w:hAnsi="仿宋" w:eastAsia="仿宋" w:cs="仿宋"/>
          <w:color w:val="auto"/>
          <w:kern w:val="2"/>
          <w:sz w:val="28"/>
          <w:szCs w:val="28"/>
          <w:highlight w:val="none"/>
          <w:lang w:val="en-US"/>
        </w:rPr>
        <w:t>若项目在满足上述资金筹集计划、项目实施计划、资金使用计划及预期收益的假设前提下，政府专项债到期日累计资金结余2865.57 万元，项目在预测期内可实现息前净现金流22016.57 万元，财务费用为19580.00 万元，本项目息前净现金流的收益覆盖倍数为1.12 倍</w:t>
      </w:r>
      <w:r>
        <w:rPr>
          <w:rFonts w:hint="eastAsia" w:ascii="仿宋" w:hAnsi="仿宋" w:eastAsia="仿宋" w:cs="仿宋"/>
          <w:color w:val="auto"/>
          <w:sz w:val="28"/>
          <w:szCs w:val="28"/>
          <w:highlight w:val="none"/>
          <w:lang w:val="en-US" w:eastAsia="zh-CN"/>
        </w:rPr>
        <w:t>。期间不存在资金缺口。</w:t>
      </w:r>
    </w:p>
    <w:p w14:paraId="0A91B644">
      <w:pPr>
        <w:pStyle w:val="4"/>
        <w:keepNext w:val="0"/>
        <w:keepLines w:val="0"/>
        <w:pageBreakBefore w:val="0"/>
        <w:widowControl/>
        <w:kinsoku/>
        <w:wordWrap/>
        <w:overflowPunct/>
        <w:topLinePunct w:val="0"/>
        <w:autoSpaceDE/>
        <w:autoSpaceDN/>
        <w:bidi w:val="0"/>
        <w:spacing w:line="0" w:lineRule="atLeast"/>
        <w:jc w:val="center"/>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资金平衡测算表</w:t>
      </w:r>
    </w:p>
    <w:p w14:paraId="2A925C85">
      <w:pPr>
        <w:pStyle w:val="5"/>
        <w:jc w:val="right"/>
        <w:rPr>
          <w:rFonts w:hint="eastAsia" w:ascii="仿宋" w:hAnsi="仿宋" w:eastAsia="仿宋" w:cs="仿宋"/>
          <w:b/>
          <w:bCs/>
          <w:caps w:val="0"/>
          <w:color w:val="auto"/>
          <w:kern w:val="0"/>
          <w:sz w:val="28"/>
          <w:szCs w:val="28"/>
          <w:highlight w:val="none"/>
          <w:lang w:val="en-US" w:eastAsia="zh-CN" w:bidi="ar-SA"/>
        </w:rPr>
      </w:pPr>
      <w:r>
        <w:rPr>
          <w:rFonts w:hint="eastAsia" w:ascii="仿宋" w:hAnsi="仿宋" w:eastAsia="仿宋" w:cs="仿宋"/>
          <w:b/>
          <w:bCs/>
          <w:caps w:val="0"/>
          <w:color w:val="auto"/>
          <w:kern w:val="0"/>
          <w:sz w:val="28"/>
          <w:szCs w:val="28"/>
          <w:highlight w:val="none"/>
          <w:lang w:val="en-US" w:eastAsia="zh-CN" w:bidi="ar-SA"/>
        </w:rPr>
        <w:t>单位：万元</w:t>
      </w:r>
    </w:p>
    <w:tbl>
      <w:tblPr>
        <w:tblStyle w:val="10"/>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6"/>
        <w:gridCol w:w="2536"/>
        <w:gridCol w:w="936"/>
        <w:gridCol w:w="856"/>
        <w:gridCol w:w="856"/>
        <w:gridCol w:w="776"/>
        <w:gridCol w:w="776"/>
        <w:gridCol w:w="776"/>
        <w:gridCol w:w="776"/>
        <w:gridCol w:w="776"/>
        <w:gridCol w:w="776"/>
        <w:gridCol w:w="776"/>
        <w:gridCol w:w="776"/>
        <w:gridCol w:w="776"/>
      </w:tblGrid>
      <w:tr w14:paraId="3D50CE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restart"/>
            <w:vAlign w:val="center"/>
          </w:tcPr>
          <w:p w14:paraId="074519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序号</w:t>
            </w:r>
          </w:p>
        </w:tc>
        <w:tc>
          <w:tcPr>
            <w:vMerge w:val="restart"/>
            <w:vAlign w:val="center"/>
          </w:tcPr>
          <w:p w14:paraId="224BC8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w:t>
            </w:r>
          </w:p>
        </w:tc>
        <w:tc>
          <w:tcPr>
            <w:vMerge w:val="restart"/>
            <w:vAlign w:val="center"/>
          </w:tcPr>
          <w:p w14:paraId="0FF5DB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合计</w:t>
            </w:r>
          </w:p>
        </w:tc>
        <w:tc>
          <w:tcPr>
            <w:gridSpan w:val="2"/>
            <w:vAlign w:val="center"/>
          </w:tcPr>
          <w:p w14:paraId="22372F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建设期</w:t>
            </w:r>
          </w:p>
        </w:tc>
        <w:tc>
          <w:tcPr>
            <w:gridSpan w:val="9"/>
            <w:vAlign w:val="center"/>
          </w:tcPr>
          <w:p w14:paraId="41772B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运营期</w:t>
            </w:r>
          </w:p>
        </w:tc>
      </w:tr>
      <w:tr w14:paraId="2CC4E3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continue"/>
            <w:vAlign w:val="center"/>
          </w:tcPr>
          <w:p w14:paraId="70C7A573">
            <w:pPr>
              <w:jc w:val="center"/>
              <w:rPr>
                <w:rFonts w:hint="eastAsia" w:ascii="仿宋" w:hAnsi="仿宋" w:eastAsia="仿宋" w:cs="仿宋"/>
                <w:color w:val="auto"/>
                <w:highlight w:val="none"/>
              </w:rPr>
            </w:pPr>
          </w:p>
        </w:tc>
        <w:tc>
          <w:tcPr>
            <w:vMerge w:val="continue"/>
            <w:vAlign w:val="center"/>
          </w:tcPr>
          <w:p w14:paraId="59F70001">
            <w:pPr>
              <w:jc w:val="center"/>
              <w:rPr>
                <w:rFonts w:hint="eastAsia" w:ascii="仿宋" w:hAnsi="仿宋" w:eastAsia="仿宋" w:cs="仿宋"/>
                <w:color w:val="auto"/>
                <w:highlight w:val="none"/>
              </w:rPr>
            </w:pPr>
          </w:p>
        </w:tc>
        <w:tc>
          <w:tcPr>
            <w:vMerge w:val="continue"/>
            <w:vAlign w:val="center"/>
          </w:tcPr>
          <w:p w14:paraId="25F8898C">
            <w:pPr>
              <w:jc w:val="center"/>
              <w:rPr>
                <w:rFonts w:hint="eastAsia" w:ascii="仿宋" w:hAnsi="仿宋" w:eastAsia="仿宋" w:cs="仿宋"/>
                <w:color w:val="auto"/>
                <w:highlight w:val="none"/>
              </w:rPr>
            </w:pPr>
          </w:p>
        </w:tc>
        <w:tc>
          <w:tcPr>
            <w:vAlign w:val="center"/>
          </w:tcPr>
          <w:p w14:paraId="4AD4212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2026年</w:t>
            </w:r>
          </w:p>
        </w:tc>
        <w:tc>
          <w:tcPr>
            <w:vAlign w:val="center"/>
          </w:tcPr>
          <w:p w14:paraId="163CD8C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2027年</w:t>
            </w:r>
          </w:p>
        </w:tc>
        <w:tc>
          <w:tcPr>
            <w:vAlign w:val="center"/>
          </w:tcPr>
          <w:p w14:paraId="6E8F4F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2028年</w:t>
            </w:r>
          </w:p>
        </w:tc>
        <w:tc>
          <w:tcPr>
            <w:vAlign w:val="center"/>
          </w:tcPr>
          <w:p w14:paraId="640E34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2029年</w:t>
            </w:r>
          </w:p>
        </w:tc>
        <w:tc>
          <w:tcPr>
            <w:vAlign w:val="center"/>
          </w:tcPr>
          <w:p w14:paraId="22EB49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2030年</w:t>
            </w:r>
          </w:p>
        </w:tc>
        <w:tc>
          <w:tcPr>
            <w:vAlign w:val="center"/>
          </w:tcPr>
          <w:p w14:paraId="00A0FE0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2031年</w:t>
            </w:r>
          </w:p>
        </w:tc>
        <w:tc>
          <w:tcPr>
            <w:vAlign w:val="center"/>
          </w:tcPr>
          <w:p w14:paraId="0EE8979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2032年</w:t>
            </w:r>
          </w:p>
        </w:tc>
        <w:tc>
          <w:tcPr>
            <w:vAlign w:val="center"/>
          </w:tcPr>
          <w:p w14:paraId="2FEF7E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2033年</w:t>
            </w:r>
          </w:p>
        </w:tc>
        <w:tc>
          <w:tcPr>
            <w:vAlign w:val="center"/>
          </w:tcPr>
          <w:p w14:paraId="6BF9D3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2034年</w:t>
            </w:r>
          </w:p>
        </w:tc>
        <w:tc>
          <w:tcPr>
            <w:vAlign w:val="center"/>
          </w:tcPr>
          <w:p w14:paraId="40CA75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2035年</w:t>
            </w:r>
          </w:p>
        </w:tc>
        <w:tc>
          <w:tcPr>
            <w:vAlign w:val="center"/>
          </w:tcPr>
          <w:p w14:paraId="107B7B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2036年</w:t>
            </w:r>
          </w:p>
        </w:tc>
      </w:tr>
      <w:tr w14:paraId="7F0F58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C5E16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一</w:t>
            </w:r>
          </w:p>
        </w:tc>
        <w:tc>
          <w:tcPr>
            <w:vAlign w:val="center"/>
          </w:tcPr>
          <w:p w14:paraId="4BB8C5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经营活动产生的净现金流量</w:t>
            </w:r>
          </w:p>
        </w:tc>
        <w:tc>
          <w:tcPr>
            <w:vAlign w:val="center"/>
          </w:tcPr>
          <w:p w14:paraId="09E57C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22016.57 </w:t>
            </w:r>
          </w:p>
        </w:tc>
        <w:tc>
          <w:tcPr>
            <w:vAlign w:val="center"/>
          </w:tcPr>
          <w:p w14:paraId="287F2A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F77B0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DCACFA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601.52</w:t>
            </w:r>
          </w:p>
        </w:tc>
        <w:tc>
          <w:tcPr>
            <w:vAlign w:val="center"/>
          </w:tcPr>
          <w:p w14:paraId="4F66BC0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633.69</w:t>
            </w:r>
          </w:p>
        </w:tc>
        <w:tc>
          <w:tcPr>
            <w:vAlign w:val="center"/>
          </w:tcPr>
          <w:p w14:paraId="56D29E0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662.69</w:t>
            </w:r>
          </w:p>
        </w:tc>
        <w:tc>
          <w:tcPr>
            <w:vAlign w:val="center"/>
          </w:tcPr>
          <w:p w14:paraId="0E204CC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707.24</w:t>
            </w:r>
          </w:p>
        </w:tc>
        <w:tc>
          <w:tcPr>
            <w:vAlign w:val="center"/>
          </w:tcPr>
          <w:p w14:paraId="5C2A611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728.81</w:t>
            </w:r>
          </w:p>
        </w:tc>
        <w:tc>
          <w:tcPr>
            <w:vAlign w:val="center"/>
          </w:tcPr>
          <w:p w14:paraId="69D65A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728.81</w:t>
            </w:r>
          </w:p>
        </w:tc>
        <w:tc>
          <w:tcPr>
            <w:vAlign w:val="center"/>
          </w:tcPr>
          <w:p w14:paraId="23B0EB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750.70</w:t>
            </w:r>
          </w:p>
        </w:tc>
        <w:tc>
          <w:tcPr>
            <w:vAlign w:val="center"/>
          </w:tcPr>
          <w:p w14:paraId="0EEB942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750.70</w:t>
            </w:r>
          </w:p>
        </w:tc>
        <w:tc>
          <w:tcPr>
            <w:vAlign w:val="center"/>
          </w:tcPr>
          <w:p w14:paraId="64C5838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750.70</w:t>
            </w:r>
          </w:p>
        </w:tc>
      </w:tr>
      <w:tr w14:paraId="6023FB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58029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584F3D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475C74C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31530.21 </w:t>
            </w:r>
          </w:p>
        </w:tc>
        <w:tc>
          <w:tcPr>
            <w:vAlign w:val="center"/>
          </w:tcPr>
          <w:p w14:paraId="1533C23B">
            <w:pPr>
              <w:jc w:val="center"/>
              <w:rPr>
                <w:rFonts w:hint="eastAsia" w:ascii="仿宋" w:hAnsi="仿宋" w:eastAsia="仿宋" w:cs="仿宋"/>
                <w:color w:val="auto"/>
                <w:highlight w:val="none"/>
              </w:rPr>
            </w:pPr>
          </w:p>
        </w:tc>
        <w:tc>
          <w:tcPr>
            <w:vAlign w:val="center"/>
          </w:tcPr>
          <w:p w14:paraId="5E6DC278">
            <w:pPr>
              <w:jc w:val="center"/>
              <w:rPr>
                <w:rFonts w:hint="eastAsia" w:ascii="仿宋" w:hAnsi="仿宋" w:eastAsia="仿宋" w:cs="仿宋"/>
                <w:color w:val="auto"/>
                <w:highlight w:val="none"/>
              </w:rPr>
            </w:pPr>
          </w:p>
        </w:tc>
        <w:tc>
          <w:tcPr>
            <w:vAlign w:val="center"/>
          </w:tcPr>
          <w:p w14:paraId="0563F0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787.31</w:t>
            </w:r>
          </w:p>
        </w:tc>
        <w:tc>
          <w:tcPr>
            <w:vAlign w:val="center"/>
          </w:tcPr>
          <w:p w14:paraId="4B3415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824.54</w:t>
            </w:r>
          </w:p>
        </w:tc>
        <w:tc>
          <w:tcPr>
            <w:vAlign w:val="center"/>
          </w:tcPr>
          <w:p w14:paraId="679D834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861.77</w:t>
            </w:r>
          </w:p>
        </w:tc>
        <w:tc>
          <w:tcPr>
            <w:vAlign w:val="center"/>
          </w:tcPr>
          <w:p w14:paraId="490463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932.77</w:t>
            </w:r>
          </w:p>
        </w:tc>
        <w:tc>
          <w:tcPr>
            <w:vAlign w:val="center"/>
          </w:tcPr>
          <w:p w14:paraId="0C2C17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966.61</w:t>
            </w:r>
          </w:p>
        </w:tc>
        <w:tc>
          <w:tcPr>
            <w:vAlign w:val="center"/>
          </w:tcPr>
          <w:p w14:paraId="3547E90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966.61</w:t>
            </w:r>
          </w:p>
        </w:tc>
        <w:tc>
          <w:tcPr>
            <w:vAlign w:val="center"/>
          </w:tcPr>
          <w:p w14:paraId="19F3F1E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1002.76</w:t>
            </w:r>
          </w:p>
        </w:tc>
        <w:tc>
          <w:tcPr>
            <w:vAlign w:val="center"/>
          </w:tcPr>
          <w:p w14:paraId="0146E2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1002.76</w:t>
            </w:r>
          </w:p>
        </w:tc>
        <w:tc>
          <w:tcPr>
            <w:vAlign w:val="center"/>
          </w:tcPr>
          <w:p w14:paraId="5640F6C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1002.76</w:t>
            </w:r>
          </w:p>
        </w:tc>
      </w:tr>
      <w:tr w14:paraId="47707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853C5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5DB7A35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经营收入</w:t>
            </w:r>
          </w:p>
        </w:tc>
        <w:tc>
          <w:tcPr>
            <w:vAlign w:val="center"/>
          </w:tcPr>
          <w:p w14:paraId="72233E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31530.21 </w:t>
            </w:r>
          </w:p>
        </w:tc>
        <w:tc>
          <w:tcPr>
            <w:vAlign w:val="center"/>
          </w:tcPr>
          <w:p w14:paraId="6DD5FC6D">
            <w:pPr>
              <w:jc w:val="center"/>
              <w:rPr>
                <w:rFonts w:hint="eastAsia" w:ascii="仿宋" w:hAnsi="仿宋" w:eastAsia="仿宋" w:cs="仿宋"/>
                <w:color w:val="auto"/>
                <w:highlight w:val="none"/>
              </w:rPr>
            </w:pPr>
          </w:p>
        </w:tc>
        <w:tc>
          <w:tcPr>
            <w:vAlign w:val="center"/>
          </w:tcPr>
          <w:p w14:paraId="6E870C7D">
            <w:pPr>
              <w:jc w:val="center"/>
              <w:rPr>
                <w:rFonts w:hint="eastAsia" w:ascii="仿宋" w:hAnsi="仿宋" w:eastAsia="仿宋" w:cs="仿宋"/>
                <w:color w:val="auto"/>
                <w:highlight w:val="none"/>
              </w:rPr>
            </w:pPr>
          </w:p>
        </w:tc>
        <w:tc>
          <w:tcPr>
            <w:vAlign w:val="center"/>
          </w:tcPr>
          <w:p w14:paraId="3F968CD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787.31</w:t>
            </w:r>
          </w:p>
        </w:tc>
        <w:tc>
          <w:tcPr>
            <w:vAlign w:val="center"/>
          </w:tcPr>
          <w:p w14:paraId="3ED178E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824.54</w:t>
            </w:r>
          </w:p>
        </w:tc>
        <w:tc>
          <w:tcPr>
            <w:vAlign w:val="center"/>
          </w:tcPr>
          <w:p w14:paraId="3F5CD9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861.77</w:t>
            </w:r>
          </w:p>
        </w:tc>
        <w:tc>
          <w:tcPr>
            <w:vAlign w:val="center"/>
          </w:tcPr>
          <w:p w14:paraId="3C7F72C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932.77</w:t>
            </w:r>
          </w:p>
        </w:tc>
        <w:tc>
          <w:tcPr>
            <w:vAlign w:val="center"/>
          </w:tcPr>
          <w:p w14:paraId="79003BA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966.61</w:t>
            </w:r>
          </w:p>
        </w:tc>
        <w:tc>
          <w:tcPr>
            <w:vAlign w:val="center"/>
          </w:tcPr>
          <w:p w14:paraId="6F88D3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966.61</w:t>
            </w:r>
          </w:p>
        </w:tc>
        <w:tc>
          <w:tcPr>
            <w:vAlign w:val="center"/>
          </w:tcPr>
          <w:p w14:paraId="7E0CCA6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1002.76</w:t>
            </w:r>
          </w:p>
        </w:tc>
        <w:tc>
          <w:tcPr>
            <w:vAlign w:val="center"/>
          </w:tcPr>
          <w:p w14:paraId="5B6B2EB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1002.76</w:t>
            </w:r>
          </w:p>
        </w:tc>
        <w:tc>
          <w:tcPr>
            <w:vAlign w:val="center"/>
          </w:tcPr>
          <w:p w14:paraId="74BF17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1002.76</w:t>
            </w:r>
          </w:p>
        </w:tc>
      </w:tr>
      <w:tr w14:paraId="5D71A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61F53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578488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补贴收入</w:t>
            </w:r>
          </w:p>
        </w:tc>
        <w:tc>
          <w:tcPr>
            <w:vAlign w:val="center"/>
          </w:tcPr>
          <w:p w14:paraId="20ED7A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525B70FD">
            <w:pPr>
              <w:jc w:val="center"/>
              <w:rPr>
                <w:rFonts w:hint="eastAsia" w:ascii="仿宋" w:hAnsi="仿宋" w:eastAsia="仿宋" w:cs="仿宋"/>
                <w:color w:val="auto"/>
                <w:highlight w:val="none"/>
              </w:rPr>
            </w:pPr>
          </w:p>
        </w:tc>
        <w:tc>
          <w:tcPr>
            <w:vAlign w:val="center"/>
          </w:tcPr>
          <w:p w14:paraId="1E46F30D">
            <w:pPr>
              <w:jc w:val="center"/>
              <w:rPr>
                <w:rFonts w:hint="eastAsia" w:ascii="仿宋" w:hAnsi="仿宋" w:eastAsia="仿宋" w:cs="仿宋"/>
                <w:color w:val="auto"/>
                <w:highlight w:val="none"/>
              </w:rPr>
            </w:pPr>
          </w:p>
        </w:tc>
        <w:tc>
          <w:tcPr>
            <w:vAlign w:val="center"/>
          </w:tcPr>
          <w:p w14:paraId="432EFA9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482385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49DAD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BC614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5F634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5BFDC9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7BEDB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6F7B41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1D0EC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4CB2C4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81378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21EBF97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3ECFCD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9513.64 </w:t>
            </w:r>
          </w:p>
        </w:tc>
        <w:tc>
          <w:tcPr>
            <w:vAlign w:val="center"/>
          </w:tcPr>
          <w:p w14:paraId="323BB83E">
            <w:pPr>
              <w:jc w:val="center"/>
              <w:rPr>
                <w:rFonts w:hint="eastAsia" w:ascii="仿宋" w:hAnsi="仿宋" w:eastAsia="仿宋" w:cs="仿宋"/>
                <w:color w:val="auto"/>
                <w:highlight w:val="none"/>
              </w:rPr>
            </w:pPr>
          </w:p>
        </w:tc>
        <w:tc>
          <w:tcPr>
            <w:vAlign w:val="center"/>
          </w:tcPr>
          <w:p w14:paraId="7A71D434">
            <w:pPr>
              <w:jc w:val="center"/>
              <w:rPr>
                <w:rFonts w:hint="eastAsia" w:ascii="仿宋" w:hAnsi="仿宋" w:eastAsia="仿宋" w:cs="仿宋"/>
                <w:color w:val="auto"/>
                <w:highlight w:val="none"/>
              </w:rPr>
            </w:pPr>
          </w:p>
        </w:tc>
        <w:tc>
          <w:tcPr>
            <w:vAlign w:val="center"/>
          </w:tcPr>
          <w:p w14:paraId="140D52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185.79</w:t>
            </w:r>
          </w:p>
        </w:tc>
        <w:tc>
          <w:tcPr>
            <w:vAlign w:val="center"/>
          </w:tcPr>
          <w:p w14:paraId="7161F7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190.85</w:t>
            </w:r>
          </w:p>
        </w:tc>
        <w:tc>
          <w:tcPr>
            <w:vAlign w:val="center"/>
          </w:tcPr>
          <w:p w14:paraId="2EC4130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199.08</w:t>
            </w:r>
          </w:p>
        </w:tc>
        <w:tc>
          <w:tcPr>
            <w:vAlign w:val="center"/>
          </w:tcPr>
          <w:p w14:paraId="03473A6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225.53</w:t>
            </w:r>
          </w:p>
        </w:tc>
        <w:tc>
          <w:tcPr>
            <w:vAlign w:val="center"/>
          </w:tcPr>
          <w:p w14:paraId="038294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237.80</w:t>
            </w:r>
          </w:p>
        </w:tc>
        <w:tc>
          <w:tcPr>
            <w:vAlign w:val="center"/>
          </w:tcPr>
          <w:p w14:paraId="7A8B836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237.80</w:t>
            </w:r>
          </w:p>
        </w:tc>
        <w:tc>
          <w:tcPr>
            <w:vAlign w:val="center"/>
          </w:tcPr>
          <w:p w14:paraId="0AA9CD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252.06</w:t>
            </w:r>
          </w:p>
        </w:tc>
        <w:tc>
          <w:tcPr>
            <w:vAlign w:val="center"/>
          </w:tcPr>
          <w:p w14:paraId="2EB214F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252.06</w:t>
            </w:r>
          </w:p>
        </w:tc>
        <w:tc>
          <w:tcPr>
            <w:vAlign w:val="center"/>
          </w:tcPr>
          <w:p w14:paraId="06A2AA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252.06</w:t>
            </w:r>
          </w:p>
        </w:tc>
      </w:tr>
      <w:tr w14:paraId="290399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5EAC58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29C5D36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经营成本</w:t>
            </w:r>
          </w:p>
        </w:tc>
        <w:tc>
          <w:tcPr>
            <w:vAlign w:val="center"/>
          </w:tcPr>
          <w:p w14:paraId="1E6EB1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4743.92 </w:t>
            </w:r>
          </w:p>
        </w:tc>
        <w:tc>
          <w:tcPr>
            <w:vAlign w:val="center"/>
          </w:tcPr>
          <w:p w14:paraId="7C1F2C54">
            <w:pPr>
              <w:jc w:val="center"/>
              <w:rPr>
                <w:rFonts w:hint="eastAsia" w:ascii="仿宋" w:hAnsi="仿宋" w:eastAsia="仿宋" w:cs="仿宋"/>
                <w:color w:val="auto"/>
                <w:highlight w:val="none"/>
              </w:rPr>
            </w:pPr>
          </w:p>
        </w:tc>
        <w:tc>
          <w:tcPr>
            <w:vAlign w:val="center"/>
          </w:tcPr>
          <w:p w14:paraId="2E31532C">
            <w:pPr>
              <w:jc w:val="center"/>
              <w:rPr>
                <w:rFonts w:hint="eastAsia" w:ascii="仿宋" w:hAnsi="仿宋" w:eastAsia="仿宋" w:cs="仿宋"/>
                <w:color w:val="auto"/>
                <w:highlight w:val="none"/>
              </w:rPr>
            </w:pPr>
          </w:p>
        </w:tc>
        <w:tc>
          <w:tcPr>
            <w:vAlign w:val="center"/>
          </w:tcPr>
          <w:p w14:paraId="6221EE8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135.16</w:t>
            </w:r>
          </w:p>
        </w:tc>
        <w:tc>
          <w:tcPr>
            <w:vAlign w:val="center"/>
          </w:tcPr>
          <w:p w14:paraId="5DD268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136.61</w:t>
            </w:r>
          </w:p>
        </w:tc>
        <w:tc>
          <w:tcPr>
            <w:vAlign w:val="center"/>
          </w:tcPr>
          <w:p w14:paraId="58ACE7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138.05</w:t>
            </w:r>
          </w:p>
        </w:tc>
        <w:tc>
          <w:tcPr>
            <w:vAlign w:val="center"/>
          </w:tcPr>
          <w:p w14:paraId="5501CA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144.19</w:t>
            </w:r>
          </w:p>
        </w:tc>
        <w:tc>
          <w:tcPr>
            <w:vAlign w:val="center"/>
          </w:tcPr>
          <w:p w14:paraId="111E3B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145.54</w:t>
            </w:r>
          </w:p>
        </w:tc>
        <w:tc>
          <w:tcPr>
            <w:vAlign w:val="center"/>
          </w:tcPr>
          <w:p w14:paraId="4489C7D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145.54</w:t>
            </w:r>
          </w:p>
        </w:tc>
        <w:tc>
          <w:tcPr>
            <w:vAlign w:val="center"/>
          </w:tcPr>
          <w:p w14:paraId="65AE37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150.50</w:t>
            </w:r>
          </w:p>
        </w:tc>
        <w:tc>
          <w:tcPr>
            <w:vAlign w:val="center"/>
          </w:tcPr>
          <w:p w14:paraId="0CEF66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150.50</w:t>
            </w:r>
          </w:p>
        </w:tc>
        <w:tc>
          <w:tcPr>
            <w:vAlign w:val="center"/>
          </w:tcPr>
          <w:p w14:paraId="1F88E2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150.50</w:t>
            </w:r>
          </w:p>
        </w:tc>
      </w:tr>
      <w:tr w14:paraId="2C29D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E4F5D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0A6499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相关税费（税金及附加+所得税）</w:t>
            </w:r>
          </w:p>
        </w:tc>
        <w:tc>
          <w:tcPr>
            <w:vAlign w:val="center"/>
          </w:tcPr>
          <w:p w14:paraId="2F9403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4769.72 </w:t>
            </w:r>
          </w:p>
        </w:tc>
        <w:tc>
          <w:tcPr>
            <w:vAlign w:val="center"/>
          </w:tcPr>
          <w:p w14:paraId="675C5DC0">
            <w:pPr>
              <w:jc w:val="center"/>
              <w:rPr>
                <w:rFonts w:hint="eastAsia" w:ascii="仿宋" w:hAnsi="仿宋" w:eastAsia="仿宋" w:cs="仿宋"/>
                <w:color w:val="auto"/>
                <w:highlight w:val="none"/>
              </w:rPr>
            </w:pPr>
          </w:p>
        </w:tc>
        <w:tc>
          <w:tcPr>
            <w:vAlign w:val="center"/>
          </w:tcPr>
          <w:p w14:paraId="77AB8EE7">
            <w:pPr>
              <w:jc w:val="center"/>
              <w:rPr>
                <w:rFonts w:hint="eastAsia" w:ascii="仿宋" w:hAnsi="仿宋" w:eastAsia="仿宋" w:cs="仿宋"/>
                <w:color w:val="auto"/>
                <w:highlight w:val="none"/>
              </w:rPr>
            </w:pPr>
          </w:p>
        </w:tc>
        <w:tc>
          <w:tcPr>
            <w:vAlign w:val="center"/>
          </w:tcPr>
          <w:p w14:paraId="22772FF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50.63</w:t>
            </w:r>
          </w:p>
        </w:tc>
        <w:tc>
          <w:tcPr>
            <w:vAlign w:val="center"/>
          </w:tcPr>
          <w:p w14:paraId="2A5FA2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54.25</w:t>
            </w:r>
          </w:p>
        </w:tc>
        <w:tc>
          <w:tcPr>
            <w:vAlign w:val="center"/>
          </w:tcPr>
          <w:p w14:paraId="27942C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61.03</w:t>
            </w:r>
          </w:p>
        </w:tc>
        <w:tc>
          <w:tcPr>
            <w:vAlign w:val="center"/>
          </w:tcPr>
          <w:p w14:paraId="29D8B8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81.34</w:t>
            </w:r>
          </w:p>
        </w:tc>
        <w:tc>
          <w:tcPr>
            <w:vAlign w:val="center"/>
          </w:tcPr>
          <w:p w14:paraId="3E99D1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92.26</w:t>
            </w:r>
          </w:p>
        </w:tc>
        <w:tc>
          <w:tcPr>
            <w:vAlign w:val="center"/>
          </w:tcPr>
          <w:p w14:paraId="407317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92.26</w:t>
            </w:r>
          </w:p>
        </w:tc>
        <w:tc>
          <w:tcPr>
            <w:vAlign w:val="center"/>
          </w:tcPr>
          <w:p w14:paraId="755ECF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101.56</w:t>
            </w:r>
          </w:p>
        </w:tc>
        <w:tc>
          <w:tcPr>
            <w:vAlign w:val="center"/>
          </w:tcPr>
          <w:p w14:paraId="4317CB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101.56</w:t>
            </w:r>
          </w:p>
        </w:tc>
        <w:tc>
          <w:tcPr>
            <w:vAlign w:val="center"/>
          </w:tcPr>
          <w:p w14:paraId="067EE13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101.56</w:t>
            </w:r>
          </w:p>
        </w:tc>
      </w:tr>
      <w:tr w14:paraId="61AAF8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DB508D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二</w:t>
            </w:r>
          </w:p>
        </w:tc>
        <w:tc>
          <w:tcPr>
            <w:vAlign w:val="center"/>
          </w:tcPr>
          <w:p w14:paraId="1E65C1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投资活动净现金流量</w:t>
            </w:r>
          </w:p>
        </w:tc>
        <w:tc>
          <w:tcPr>
            <w:vAlign w:val="center"/>
          </w:tcPr>
          <w:p w14:paraId="24BF205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44D5FB1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-7851.50</w:t>
            </w:r>
          </w:p>
        </w:tc>
        <w:tc>
          <w:tcPr>
            <w:vAlign w:val="center"/>
          </w:tcPr>
          <w:p w14:paraId="7B7807B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-7708.50</w:t>
            </w:r>
          </w:p>
        </w:tc>
        <w:tc>
          <w:tcPr>
            <w:vAlign w:val="center"/>
          </w:tcPr>
          <w:p w14:paraId="07F163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E998D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29566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20BF7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9961A9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4D583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644D61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F8A279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76311F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71148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52C18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1113CC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5803A7D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6980EA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76876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20A27F6">
            <w:pPr>
              <w:jc w:val="center"/>
              <w:rPr>
                <w:rFonts w:hint="eastAsia" w:ascii="仿宋" w:hAnsi="仿宋" w:eastAsia="仿宋" w:cs="仿宋"/>
                <w:color w:val="auto"/>
                <w:highlight w:val="none"/>
              </w:rPr>
            </w:pPr>
          </w:p>
        </w:tc>
        <w:tc>
          <w:tcPr>
            <w:vAlign w:val="center"/>
          </w:tcPr>
          <w:p w14:paraId="4AF59238">
            <w:pPr>
              <w:jc w:val="center"/>
              <w:rPr>
                <w:rFonts w:hint="eastAsia" w:ascii="仿宋" w:hAnsi="仿宋" w:eastAsia="仿宋" w:cs="仿宋"/>
                <w:color w:val="auto"/>
                <w:highlight w:val="none"/>
              </w:rPr>
            </w:pPr>
          </w:p>
        </w:tc>
        <w:tc>
          <w:tcPr>
            <w:vAlign w:val="center"/>
          </w:tcPr>
          <w:p w14:paraId="104FA75F">
            <w:pPr>
              <w:jc w:val="center"/>
              <w:rPr>
                <w:rFonts w:hint="eastAsia" w:ascii="仿宋" w:hAnsi="仿宋" w:eastAsia="仿宋" w:cs="仿宋"/>
                <w:color w:val="auto"/>
                <w:highlight w:val="none"/>
              </w:rPr>
            </w:pPr>
          </w:p>
        </w:tc>
        <w:tc>
          <w:tcPr>
            <w:vAlign w:val="center"/>
          </w:tcPr>
          <w:p w14:paraId="1DBB9A2F">
            <w:pPr>
              <w:jc w:val="center"/>
              <w:rPr>
                <w:rFonts w:hint="eastAsia" w:ascii="仿宋" w:hAnsi="仿宋" w:eastAsia="仿宋" w:cs="仿宋"/>
                <w:color w:val="auto"/>
                <w:highlight w:val="none"/>
              </w:rPr>
            </w:pPr>
          </w:p>
        </w:tc>
        <w:tc>
          <w:tcPr>
            <w:vAlign w:val="center"/>
          </w:tcPr>
          <w:p w14:paraId="19454428">
            <w:pPr>
              <w:jc w:val="center"/>
              <w:rPr>
                <w:rFonts w:hint="eastAsia" w:ascii="仿宋" w:hAnsi="仿宋" w:eastAsia="仿宋" w:cs="仿宋"/>
                <w:color w:val="auto"/>
                <w:highlight w:val="none"/>
              </w:rPr>
            </w:pPr>
          </w:p>
        </w:tc>
        <w:tc>
          <w:tcPr>
            <w:vAlign w:val="center"/>
          </w:tcPr>
          <w:p w14:paraId="3093E746">
            <w:pPr>
              <w:jc w:val="center"/>
              <w:rPr>
                <w:rFonts w:hint="eastAsia" w:ascii="仿宋" w:hAnsi="仿宋" w:eastAsia="仿宋" w:cs="仿宋"/>
                <w:color w:val="auto"/>
                <w:highlight w:val="none"/>
              </w:rPr>
            </w:pPr>
          </w:p>
        </w:tc>
        <w:tc>
          <w:tcPr>
            <w:vAlign w:val="center"/>
          </w:tcPr>
          <w:p w14:paraId="19D539B0">
            <w:pPr>
              <w:jc w:val="center"/>
              <w:rPr>
                <w:rFonts w:hint="eastAsia" w:ascii="仿宋" w:hAnsi="仿宋" w:eastAsia="仿宋" w:cs="仿宋"/>
                <w:color w:val="auto"/>
                <w:highlight w:val="none"/>
              </w:rPr>
            </w:pPr>
          </w:p>
        </w:tc>
        <w:tc>
          <w:tcPr>
            <w:vAlign w:val="center"/>
          </w:tcPr>
          <w:p w14:paraId="508EC763">
            <w:pPr>
              <w:jc w:val="center"/>
              <w:rPr>
                <w:rFonts w:hint="eastAsia" w:ascii="仿宋" w:hAnsi="仿宋" w:eastAsia="仿宋" w:cs="仿宋"/>
                <w:color w:val="auto"/>
                <w:highlight w:val="none"/>
              </w:rPr>
            </w:pPr>
          </w:p>
        </w:tc>
        <w:tc>
          <w:tcPr>
            <w:vAlign w:val="center"/>
          </w:tcPr>
          <w:p w14:paraId="6D5A3339">
            <w:pPr>
              <w:jc w:val="center"/>
              <w:rPr>
                <w:rFonts w:hint="eastAsia" w:ascii="仿宋" w:hAnsi="仿宋" w:eastAsia="仿宋" w:cs="仿宋"/>
                <w:color w:val="auto"/>
                <w:highlight w:val="none"/>
              </w:rPr>
            </w:pPr>
          </w:p>
        </w:tc>
      </w:tr>
      <w:tr w14:paraId="5EE4FD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0DC4F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5278AA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处置投资物</w:t>
            </w:r>
          </w:p>
        </w:tc>
        <w:tc>
          <w:tcPr>
            <w:vAlign w:val="center"/>
          </w:tcPr>
          <w:p w14:paraId="679DF10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404CC61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C8DBD7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CD0BB87">
            <w:pPr>
              <w:jc w:val="center"/>
              <w:rPr>
                <w:rFonts w:hint="eastAsia" w:ascii="仿宋" w:hAnsi="仿宋" w:eastAsia="仿宋" w:cs="仿宋"/>
                <w:color w:val="auto"/>
                <w:highlight w:val="none"/>
              </w:rPr>
            </w:pPr>
          </w:p>
        </w:tc>
        <w:tc>
          <w:tcPr>
            <w:vAlign w:val="center"/>
          </w:tcPr>
          <w:p w14:paraId="23D30759">
            <w:pPr>
              <w:jc w:val="center"/>
              <w:rPr>
                <w:rFonts w:hint="eastAsia" w:ascii="仿宋" w:hAnsi="仿宋" w:eastAsia="仿宋" w:cs="仿宋"/>
                <w:color w:val="auto"/>
                <w:highlight w:val="none"/>
              </w:rPr>
            </w:pPr>
          </w:p>
        </w:tc>
        <w:tc>
          <w:tcPr>
            <w:vAlign w:val="center"/>
          </w:tcPr>
          <w:p w14:paraId="264C2369">
            <w:pPr>
              <w:jc w:val="center"/>
              <w:rPr>
                <w:rFonts w:hint="eastAsia" w:ascii="仿宋" w:hAnsi="仿宋" w:eastAsia="仿宋" w:cs="仿宋"/>
                <w:color w:val="auto"/>
                <w:highlight w:val="none"/>
              </w:rPr>
            </w:pPr>
          </w:p>
        </w:tc>
        <w:tc>
          <w:tcPr>
            <w:vAlign w:val="center"/>
          </w:tcPr>
          <w:p w14:paraId="19140DA2">
            <w:pPr>
              <w:jc w:val="center"/>
              <w:rPr>
                <w:rFonts w:hint="eastAsia" w:ascii="仿宋" w:hAnsi="仿宋" w:eastAsia="仿宋" w:cs="仿宋"/>
                <w:color w:val="auto"/>
                <w:highlight w:val="none"/>
              </w:rPr>
            </w:pPr>
          </w:p>
        </w:tc>
        <w:tc>
          <w:tcPr>
            <w:vAlign w:val="center"/>
          </w:tcPr>
          <w:p w14:paraId="6B4C30C9">
            <w:pPr>
              <w:jc w:val="center"/>
              <w:rPr>
                <w:rFonts w:hint="eastAsia" w:ascii="仿宋" w:hAnsi="仿宋" w:eastAsia="仿宋" w:cs="仿宋"/>
                <w:color w:val="auto"/>
                <w:highlight w:val="none"/>
              </w:rPr>
            </w:pPr>
          </w:p>
        </w:tc>
        <w:tc>
          <w:tcPr>
            <w:vAlign w:val="center"/>
          </w:tcPr>
          <w:p w14:paraId="2BE00216">
            <w:pPr>
              <w:jc w:val="center"/>
              <w:rPr>
                <w:rFonts w:hint="eastAsia" w:ascii="仿宋" w:hAnsi="仿宋" w:eastAsia="仿宋" w:cs="仿宋"/>
                <w:color w:val="auto"/>
                <w:highlight w:val="none"/>
              </w:rPr>
            </w:pPr>
          </w:p>
        </w:tc>
        <w:tc>
          <w:tcPr>
            <w:vAlign w:val="center"/>
          </w:tcPr>
          <w:p w14:paraId="07AB94D5">
            <w:pPr>
              <w:jc w:val="center"/>
              <w:rPr>
                <w:rFonts w:hint="eastAsia" w:ascii="仿宋" w:hAnsi="仿宋" w:eastAsia="仿宋" w:cs="仿宋"/>
                <w:color w:val="auto"/>
                <w:highlight w:val="none"/>
              </w:rPr>
            </w:pPr>
          </w:p>
        </w:tc>
        <w:tc>
          <w:tcPr>
            <w:vAlign w:val="center"/>
          </w:tcPr>
          <w:p w14:paraId="0CCF034D">
            <w:pPr>
              <w:jc w:val="center"/>
              <w:rPr>
                <w:rFonts w:hint="eastAsia" w:ascii="仿宋" w:hAnsi="仿宋" w:eastAsia="仿宋" w:cs="仿宋"/>
                <w:color w:val="auto"/>
                <w:highlight w:val="none"/>
              </w:rPr>
            </w:pPr>
          </w:p>
        </w:tc>
        <w:tc>
          <w:tcPr>
            <w:vAlign w:val="center"/>
          </w:tcPr>
          <w:p w14:paraId="5D75AAFD">
            <w:pPr>
              <w:jc w:val="center"/>
              <w:rPr>
                <w:rFonts w:hint="eastAsia" w:ascii="仿宋" w:hAnsi="仿宋" w:eastAsia="仿宋" w:cs="仿宋"/>
                <w:color w:val="auto"/>
                <w:highlight w:val="none"/>
              </w:rPr>
            </w:pPr>
          </w:p>
        </w:tc>
      </w:tr>
      <w:tr w14:paraId="56A2F2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3DFEC6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699DB2E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收到其他投资</w:t>
            </w:r>
          </w:p>
        </w:tc>
        <w:tc>
          <w:tcPr>
            <w:vAlign w:val="center"/>
          </w:tcPr>
          <w:p w14:paraId="2B3CC5C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45B55B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E77352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46F3751">
            <w:pPr>
              <w:jc w:val="center"/>
              <w:rPr>
                <w:rFonts w:hint="eastAsia" w:ascii="仿宋" w:hAnsi="仿宋" w:eastAsia="仿宋" w:cs="仿宋"/>
                <w:color w:val="auto"/>
                <w:highlight w:val="none"/>
              </w:rPr>
            </w:pPr>
          </w:p>
        </w:tc>
        <w:tc>
          <w:tcPr>
            <w:vAlign w:val="center"/>
          </w:tcPr>
          <w:p w14:paraId="717FE4BA">
            <w:pPr>
              <w:jc w:val="center"/>
              <w:rPr>
                <w:rFonts w:hint="eastAsia" w:ascii="仿宋" w:hAnsi="仿宋" w:eastAsia="仿宋" w:cs="仿宋"/>
                <w:color w:val="auto"/>
                <w:highlight w:val="none"/>
              </w:rPr>
            </w:pPr>
          </w:p>
        </w:tc>
        <w:tc>
          <w:tcPr>
            <w:vAlign w:val="center"/>
          </w:tcPr>
          <w:p w14:paraId="18E639F2">
            <w:pPr>
              <w:jc w:val="center"/>
              <w:rPr>
                <w:rFonts w:hint="eastAsia" w:ascii="仿宋" w:hAnsi="仿宋" w:eastAsia="仿宋" w:cs="仿宋"/>
                <w:color w:val="auto"/>
                <w:highlight w:val="none"/>
              </w:rPr>
            </w:pPr>
          </w:p>
        </w:tc>
        <w:tc>
          <w:tcPr>
            <w:vAlign w:val="center"/>
          </w:tcPr>
          <w:p w14:paraId="052D334F">
            <w:pPr>
              <w:jc w:val="center"/>
              <w:rPr>
                <w:rFonts w:hint="eastAsia" w:ascii="仿宋" w:hAnsi="仿宋" w:eastAsia="仿宋" w:cs="仿宋"/>
                <w:color w:val="auto"/>
                <w:highlight w:val="none"/>
              </w:rPr>
            </w:pPr>
          </w:p>
        </w:tc>
        <w:tc>
          <w:tcPr>
            <w:vAlign w:val="center"/>
          </w:tcPr>
          <w:p w14:paraId="774D66FB">
            <w:pPr>
              <w:jc w:val="center"/>
              <w:rPr>
                <w:rFonts w:hint="eastAsia" w:ascii="仿宋" w:hAnsi="仿宋" w:eastAsia="仿宋" w:cs="仿宋"/>
                <w:color w:val="auto"/>
                <w:highlight w:val="none"/>
              </w:rPr>
            </w:pPr>
          </w:p>
        </w:tc>
        <w:tc>
          <w:tcPr>
            <w:vAlign w:val="center"/>
          </w:tcPr>
          <w:p w14:paraId="565138F7">
            <w:pPr>
              <w:jc w:val="center"/>
              <w:rPr>
                <w:rFonts w:hint="eastAsia" w:ascii="仿宋" w:hAnsi="仿宋" w:eastAsia="仿宋" w:cs="仿宋"/>
                <w:color w:val="auto"/>
                <w:highlight w:val="none"/>
              </w:rPr>
            </w:pPr>
          </w:p>
        </w:tc>
        <w:tc>
          <w:tcPr>
            <w:vAlign w:val="center"/>
          </w:tcPr>
          <w:p w14:paraId="207E7094">
            <w:pPr>
              <w:jc w:val="center"/>
              <w:rPr>
                <w:rFonts w:hint="eastAsia" w:ascii="仿宋" w:hAnsi="仿宋" w:eastAsia="仿宋" w:cs="仿宋"/>
                <w:color w:val="auto"/>
                <w:highlight w:val="none"/>
              </w:rPr>
            </w:pPr>
          </w:p>
        </w:tc>
        <w:tc>
          <w:tcPr>
            <w:vAlign w:val="center"/>
          </w:tcPr>
          <w:p w14:paraId="52D0C229">
            <w:pPr>
              <w:jc w:val="center"/>
              <w:rPr>
                <w:rFonts w:hint="eastAsia" w:ascii="仿宋" w:hAnsi="仿宋" w:eastAsia="仿宋" w:cs="仿宋"/>
                <w:color w:val="auto"/>
                <w:highlight w:val="none"/>
              </w:rPr>
            </w:pPr>
          </w:p>
        </w:tc>
        <w:tc>
          <w:tcPr>
            <w:vAlign w:val="center"/>
          </w:tcPr>
          <w:p w14:paraId="17DA7F7A">
            <w:pPr>
              <w:jc w:val="center"/>
              <w:rPr>
                <w:rFonts w:hint="eastAsia" w:ascii="仿宋" w:hAnsi="仿宋" w:eastAsia="仿宋" w:cs="仿宋"/>
                <w:color w:val="auto"/>
                <w:highlight w:val="none"/>
              </w:rPr>
            </w:pPr>
          </w:p>
        </w:tc>
      </w:tr>
      <w:tr w14:paraId="27E96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3ABCE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5E4BA78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72F3DE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1B85376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7851.50</w:t>
            </w:r>
          </w:p>
        </w:tc>
        <w:tc>
          <w:tcPr>
            <w:vAlign w:val="center"/>
          </w:tcPr>
          <w:p w14:paraId="5CDB65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7708.50</w:t>
            </w:r>
          </w:p>
        </w:tc>
        <w:tc>
          <w:tcPr>
            <w:vAlign w:val="center"/>
          </w:tcPr>
          <w:p w14:paraId="2B4F5C2C">
            <w:pPr>
              <w:jc w:val="center"/>
              <w:rPr>
                <w:rFonts w:hint="eastAsia" w:ascii="仿宋" w:hAnsi="仿宋" w:eastAsia="仿宋" w:cs="仿宋"/>
                <w:color w:val="auto"/>
                <w:highlight w:val="none"/>
              </w:rPr>
            </w:pPr>
          </w:p>
        </w:tc>
        <w:tc>
          <w:tcPr>
            <w:vAlign w:val="center"/>
          </w:tcPr>
          <w:p w14:paraId="6345620F">
            <w:pPr>
              <w:jc w:val="center"/>
              <w:rPr>
                <w:rFonts w:hint="eastAsia" w:ascii="仿宋" w:hAnsi="仿宋" w:eastAsia="仿宋" w:cs="仿宋"/>
                <w:color w:val="auto"/>
                <w:highlight w:val="none"/>
              </w:rPr>
            </w:pPr>
          </w:p>
        </w:tc>
        <w:tc>
          <w:tcPr>
            <w:vAlign w:val="center"/>
          </w:tcPr>
          <w:p w14:paraId="1B35EC62">
            <w:pPr>
              <w:jc w:val="center"/>
              <w:rPr>
                <w:rFonts w:hint="eastAsia" w:ascii="仿宋" w:hAnsi="仿宋" w:eastAsia="仿宋" w:cs="仿宋"/>
                <w:color w:val="auto"/>
                <w:highlight w:val="none"/>
              </w:rPr>
            </w:pPr>
          </w:p>
        </w:tc>
        <w:tc>
          <w:tcPr>
            <w:vAlign w:val="center"/>
          </w:tcPr>
          <w:p w14:paraId="7A718D08">
            <w:pPr>
              <w:jc w:val="center"/>
              <w:rPr>
                <w:rFonts w:hint="eastAsia" w:ascii="仿宋" w:hAnsi="仿宋" w:eastAsia="仿宋" w:cs="仿宋"/>
                <w:color w:val="auto"/>
                <w:highlight w:val="none"/>
              </w:rPr>
            </w:pPr>
          </w:p>
        </w:tc>
        <w:tc>
          <w:tcPr>
            <w:vAlign w:val="center"/>
          </w:tcPr>
          <w:p w14:paraId="07173E83">
            <w:pPr>
              <w:jc w:val="center"/>
              <w:rPr>
                <w:rFonts w:hint="eastAsia" w:ascii="仿宋" w:hAnsi="仿宋" w:eastAsia="仿宋" w:cs="仿宋"/>
                <w:color w:val="auto"/>
                <w:highlight w:val="none"/>
              </w:rPr>
            </w:pPr>
          </w:p>
        </w:tc>
        <w:tc>
          <w:tcPr>
            <w:vAlign w:val="center"/>
          </w:tcPr>
          <w:p w14:paraId="0C2AC402">
            <w:pPr>
              <w:jc w:val="center"/>
              <w:rPr>
                <w:rFonts w:hint="eastAsia" w:ascii="仿宋" w:hAnsi="仿宋" w:eastAsia="仿宋" w:cs="仿宋"/>
                <w:color w:val="auto"/>
                <w:highlight w:val="none"/>
              </w:rPr>
            </w:pPr>
          </w:p>
        </w:tc>
        <w:tc>
          <w:tcPr>
            <w:vAlign w:val="center"/>
          </w:tcPr>
          <w:p w14:paraId="36B36FA8">
            <w:pPr>
              <w:jc w:val="center"/>
              <w:rPr>
                <w:rFonts w:hint="eastAsia" w:ascii="仿宋" w:hAnsi="仿宋" w:eastAsia="仿宋" w:cs="仿宋"/>
                <w:color w:val="auto"/>
                <w:highlight w:val="none"/>
              </w:rPr>
            </w:pPr>
          </w:p>
        </w:tc>
        <w:tc>
          <w:tcPr>
            <w:vAlign w:val="center"/>
          </w:tcPr>
          <w:p w14:paraId="1BFD78D0">
            <w:pPr>
              <w:jc w:val="center"/>
              <w:rPr>
                <w:rFonts w:hint="eastAsia" w:ascii="仿宋" w:hAnsi="仿宋" w:eastAsia="仿宋" w:cs="仿宋"/>
                <w:color w:val="auto"/>
                <w:highlight w:val="none"/>
              </w:rPr>
            </w:pPr>
          </w:p>
        </w:tc>
        <w:tc>
          <w:tcPr>
            <w:vAlign w:val="center"/>
          </w:tcPr>
          <w:p w14:paraId="4F99AAF8">
            <w:pPr>
              <w:jc w:val="center"/>
              <w:rPr>
                <w:rFonts w:hint="eastAsia" w:ascii="仿宋" w:hAnsi="仿宋" w:eastAsia="仿宋" w:cs="仿宋"/>
                <w:color w:val="auto"/>
                <w:highlight w:val="none"/>
              </w:rPr>
            </w:pPr>
          </w:p>
        </w:tc>
      </w:tr>
      <w:tr w14:paraId="288E0C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37083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3856CB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建设投资</w:t>
            </w:r>
          </w:p>
        </w:tc>
        <w:tc>
          <w:tcPr>
            <w:vAlign w:val="center"/>
          </w:tcPr>
          <w:p w14:paraId="267F6A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1448F1F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7851.50</w:t>
            </w:r>
          </w:p>
        </w:tc>
        <w:tc>
          <w:tcPr>
            <w:vAlign w:val="center"/>
          </w:tcPr>
          <w:p w14:paraId="05251D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7708.50</w:t>
            </w:r>
          </w:p>
        </w:tc>
        <w:tc>
          <w:tcPr>
            <w:vAlign w:val="center"/>
          </w:tcPr>
          <w:p w14:paraId="39EEF6A2">
            <w:pPr>
              <w:jc w:val="center"/>
              <w:rPr>
                <w:rFonts w:hint="eastAsia" w:ascii="仿宋" w:hAnsi="仿宋" w:eastAsia="仿宋" w:cs="仿宋"/>
                <w:color w:val="auto"/>
                <w:highlight w:val="none"/>
              </w:rPr>
            </w:pPr>
          </w:p>
        </w:tc>
        <w:tc>
          <w:tcPr>
            <w:vAlign w:val="center"/>
          </w:tcPr>
          <w:p w14:paraId="1D3F6138">
            <w:pPr>
              <w:jc w:val="center"/>
              <w:rPr>
                <w:rFonts w:hint="eastAsia" w:ascii="仿宋" w:hAnsi="仿宋" w:eastAsia="仿宋" w:cs="仿宋"/>
                <w:color w:val="auto"/>
                <w:highlight w:val="none"/>
              </w:rPr>
            </w:pPr>
          </w:p>
        </w:tc>
        <w:tc>
          <w:tcPr>
            <w:vAlign w:val="center"/>
          </w:tcPr>
          <w:p w14:paraId="4162481A">
            <w:pPr>
              <w:jc w:val="center"/>
              <w:rPr>
                <w:rFonts w:hint="eastAsia" w:ascii="仿宋" w:hAnsi="仿宋" w:eastAsia="仿宋" w:cs="仿宋"/>
                <w:color w:val="auto"/>
                <w:highlight w:val="none"/>
              </w:rPr>
            </w:pPr>
          </w:p>
        </w:tc>
        <w:tc>
          <w:tcPr>
            <w:vAlign w:val="center"/>
          </w:tcPr>
          <w:p w14:paraId="13CA72D9">
            <w:pPr>
              <w:jc w:val="center"/>
              <w:rPr>
                <w:rFonts w:hint="eastAsia" w:ascii="仿宋" w:hAnsi="仿宋" w:eastAsia="仿宋" w:cs="仿宋"/>
                <w:color w:val="auto"/>
                <w:highlight w:val="none"/>
              </w:rPr>
            </w:pPr>
          </w:p>
        </w:tc>
        <w:tc>
          <w:tcPr>
            <w:vAlign w:val="center"/>
          </w:tcPr>
          <w:p w14:paraId="4B335A5D">
            <w:pPr>
              <w:jc w:val="center"/>
              <w:rPr>
                <w:rFonts w:hint="eastAsia" w:ascii="仿宋" w:hAnsi="仿宋" w:eastAsia="仿宋" w:cs="仿宋"/>
                <w:color w:val="auto"/>
                <w:highlight w:val="none"/>
              </w:rPr>
            </w:pPr>
          </w:p>
        </w:tc>
        <w:tc>
          <w:tcPr>
            <w:vAlign w:val="center"/>
          </w:tcPr>
          <w:p w14:paraId="56A1E500">
            <w:pPr>
              <w:jc w:val="center"/>
              <w:rPr>
                <w:rFonts w:hint="eastAsia" w:ascii="仿宋" w:hAnsi="仿宋" w:eastAsia="仿宋" w:cs="仿宋"/>
                <w:color w:val="auto"/>
                <w:highlight w:val="none"/>
              </w:rPr>
            </w:pPr>
          </w:p>
        </w:tc>
        <w:tc>
          <w:tcPr>
            <w:vAlign w:val="center"/>
          </w:tcPr>
          <w:p w14:paraId="1328D0B7">
            <w:pPr>
              <w:jc w:val="center"/>
              <w:rPr>
                <w:rFonts w:hint="eastAsia" w:ascii="仿宋" w:hAnsi="仿宋" w:eastAsia="仿宋" w:cs="仿宋"/>
                <w:color w:val="auto"/>
                <w:highlight w:val="none"/>
              </w:rPr>
            </w:pPr>
          </w:p>
        </w:tc>
        <w:tc>
          <w:tcPr>
            <w:vAlign w:val="center"/>
          </w:tcPr>
          <w:p w14:paraId="0E7BB0D9">
            <w:pPr>
              <w:jc w:val="center"/>
              <w:rPr>
                <w:rFonts w:hint="eastAsia" w:ascii="仿宋" w:hAnsi="仿宋" w:eastAsia="仿宋" w:cs="仿宋"/>
                <w:color w:val="auto"/>
                <w:highlight w:val="none"/>
              </w:rPr>
            </w:pPr>
          </w:p>
        </w:tc>
        <w:tc>
          <w:tcPr>
            <w:vAlign w:val="center"/>
          </w:tcPr>
          <w:p w14:paraId="2FE6AC42">
            <w:pPr>
              <w:jc w:val="center"/>
              <w:rPr>
                <w:rFonts w:hint="eastAsia" w:ascii="仿宋" w:hAnsi="仿宋" w:eastAsia="仿宋" w:cs="仿宋"/>
                <w:color w:val="auto"/>
                <w:highlight w:val="none"/>
              </w:rPr>
            </w:pPr>
          </w:p>
        </w:tc>
      </w:tr>
      <w:tr w14:paraId="72E91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EE7029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4F1E50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维持运营投资</w:t>
            </w:r>
          </w:p>
        </w:tc>
        <w:tc>
          <w:tcPr>
            <w:vAlign w:val="center"/>
          </w:tcPr>
          <w:p w14:paraId="02170A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0C51ADA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FDFA2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0BCC61E">
            <w:pPr>
              <w:jc w:val="center"/>
              <w:rPr>
                <w:rFonts w:hint="eastAsia" w:ascii="仿宋" w:hAnsi="仿宋" w:eastAsia="仿宋" w:cs="仿宋"/>
                <w:color w:val="auto"/>
                <w:highlight w:val="none"/>
              </w:rPr>
            </w:pPr>
          </w:p>
        </w:tc>
        <w:tc>
          <w:tcPr>
            <w:vAlign w:val="center"/>
          </w:tcPr>
          <w:p w14:paraId="71B70990">
            <w:pPr>
              <w:jc w:val="center"/>
              <w:rPr>
                <w:rFonts w:hint="eastAsia" w:ascii="仿宋" w:hAnsi="仿宋" w:eastAsia="仿宋" w:cs="仿宋"/>
                <w:color w:val="auto"/>
                <w:highlight w:val="none"/>
              </w:rPr>
            </w:pPr>
          </w:p>
        </w:tc>
        <w:tc>
          <w:tcPr>
            <w:vAlign w:val="center"/>
          </w:tcPr>
          <w:p w14:paraId="0C82B5E8">
            <w:pPr>
              <w:jc w:val="center"/>
              <w:rPr>
                <w:rFonts w:hint="eastAsia" w:ascii="仿宋" w:hAnsi="仿宋" w:eastAsia="仿宋" w:cs="仿宋"/>
                <w:color w:val="auto"/>
                <w:highlight w:val="none"/>
              </w:rPr>
            </w:pPr>
          </w:p>
        </w:tc>
        <w:tc>
          <w:tcPr>
            <w:vAlign w:val="center"/>
          </w:tcPr>
          <w:p w14:paraId="23EA1464">
            <w:pPr>
              <w:jc w:val="center"/>
              <w:rPr>
                <w:rFonts w:hint="eastAsia" w:ascii="仿宋" w:hAnsi="仿宋" w:eastAsia="仿宋" w:cs="仿宋"/>
                <w:color w:val="auto"/>
                <w:highlight w:val="none"/>
              </w:rPr>
            </w:pPr>
          </w:p>
        </w:tc>
        <w:tc>
          <w:tcPr>
            <w:vAlign w:val="center"/>
          </w:tcPr>
          <w:p w14:paraId="426A6D8D">
            <w:pPr>
              <w:jc w:val="center"/>
              <w:rPr>
                <w:rFonts w:hint="eastAsia" w:ascii="仿宋" w:hAnsi="仿宋" w:eastAsia="仿宋" w:cs="仿宋"/>
                <w:color w:val="auto"/>
                <w:highlight w:val="none"/>
              </w:rPr>
            </w:pPr>
          </w:p>
        </w:tc>
        <w:tc>
          <w:tcPr>
            <w:vAlign w:val="center"/>
          </w:tcPr>
          <w:p w14:paraId="136CD55D">
            <w:pPr>
              <w:jc w:val="center"/>
              <w:rPr>
                <w:rFonts w:hint="eastAsia" w:ascii="仿宋" w:hAnsi="仿宋" w:eastAsia="仿宋" w:cs="仿宋"/>
                <w:color w:val="auto"/>
                <w:highlight w:val="none"/>
              </w:rPr>
            </w:pPr>
          </w:p>
        </w:tc>
        <w:tc>
          <w:tcPr>
            <w:vAlign w:val="center"/>
          </w:tcPr>
          <w:p w14:paraId="248D3DB2">
            <w:pPr>
              <w:jc w:val="center"/>
              <w:rPr>
                <w:rFonts w:hint="eastAsia" w:ascii="仿宋" w:hAnsi="仿宋" w:eastAsia="仿宋" w:cs="仿宋"/>
                <w:color w:val="auto"/>
                <w:highlight w:val="none"/>
              </w:rPr>
            </w:pPr>
          </w:p>
        </w:tc>
        <w:tc>
          <w:tcPr>
            <w:vAlign w:val="center"/>
          </w:tcPr>
          <w:p w14:paraId="323325F4">
            <w:pPr>
              <w:jc w:val="center"/>
              <w:rPr>
                <w:rFonts w:hint="eastAsia" w:ascii="仿宋" w:hAnsi="仿宋" w:eastAsia="仿宋" w:cs="仿宋"/>
                <w:color w:val="auto"/>
                <w:highlight w:val="none"/>
              </w:rPr>
            </w:pPr>
          </w:p>
        </w:tc>
        <w:tc>
          <w:tcPr>
            <w:vAlign w:val="center"/>
          </w:tcPr>
          <w:p w14:paraId="72E0795E">
            <w:pPr>
              <w:jc w:val="center"/>
              <w:rPr>
                <w:rFonts w:hint="eastAsia" w:ascii="仿宋" w:hAnsi="仿宋" w:eastAsia="仿宋" w:cs="仿宋"/>
                <w:color w:val="auto"/>
                <w:highlight w:val="none"/>
              </w:rPr>
            </w:pPr>
          </w:p>
        </w:tc>
      </w:tr>
      <w:tr w14:paraId="11216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9734E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三</w:t>
            </w:r>
          </w:p>
        </w:tc>
        <w:tc>
          <w:tcPr>
            <w:vAlign w:val="center"/>
          </w:tcPr>
          <w:p w14:paraId="6316B0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筹措活动净现金流量</w:t>
            </w:r>
          </w:p>
        </w:tc>
        <w:tc>
          <w:tcPr>
            <w:vAlign w:val="center"/>
          </w:tcPr>
          <w:p w14:paraId="6E7A661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-3591.00 </w:t>
            </w:r>
          </w:p>
        </w:tc>
        <w:tc>
          <w:tcPr>
            <w:vAlign w:val="center"/>
          </w:tcPr>
          <w:p w14:paraId="5E5267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7851.50</w:t>
            </w:r>
          </w:p>
        </w:tc>
        <w:tc>
          <w:tcPr>
            <w:vAlign w:val="center"/>
          </w:tcPr>
          <w:p w14:paraId="36AD82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7708.50</w:t>
            </w:r>
          </w:p>
        </w:tc>
        <w:tc>
          <w:tcPr>
            <w:vAlign w:val="center"/>
          </w:tcPr>
          <w:p w14:paraId="7C6505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A1246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C6F21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1F115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3E8FD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04B23D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669FD6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022807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5A2AF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r>
      <w:tr w14:paraId="76186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FF4FF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1EC4BE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6B70BC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16000.00 </w:t>
            </w:r>
          </w:p>
        </w:tc>
        <w:tc>
          <w:tcPr>
            <w:vAlign w:val="center"/>
          </w:tcPr>
          <w:p w14:paraId="46F0ED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8000.00</w:t>
            </w:r>
          </w:p>
        </w:tc>
        <w:tc>
          <w:tcPr>
            <w:vAlign w:val="center"/>
          </w:tcPr>
          <w:p w14:paraId="1CC070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8000.00</w:t>
            </w:r>
          </w:p>
        </w:tc>
        <w:tc>
          <w:tcPr>
            <w:vAlign w:val="center"/>
          </w:tcPr>
          <w:p w14:paraId="61AFFD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8A2D3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2C0B2C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F14DB7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122490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97129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3357E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DA392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E53A5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6709D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A5D00A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4B8800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项目资本金投入</w:t>
            </w:r>
          </w:p>
        </w:tc>
        <w:tc>
          <w:tcPr>
            <w:vAlign w:val="center"/>
          </w:tcPr>
          <w:p w14:paraId="47FAE38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5000.00 </w:t>
            </w:r>
          </w:p>
        </w:tc>
        <w:tc>
          <w:tcPr>
            <w:vAlign w:val="center"/>
          </w:tcPr>
          <w:p w14:paraId="18CD98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2500.00</w:t>
            </w:r>
          </w:p>
        </w:tc>
        <w:tc>
          <w:tcPr>
            <w:vAlign w:val="center"/>
          </w:tcPr>
          <w:p w14:paraId="019268E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2500.00</w:t>
            </w:r>
          </w:p>
        </w:tc>
        <w:tc>
          <w:tcPr>
            <w:vAlign w:val="center"/>
          </w:tcPr>
          <w:p w14:paraId="0FA090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1805B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59278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B8AE4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631C03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4F1AC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AF4A2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68EF51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A6BE9C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43CF4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66BEC7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79016E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专项债券资金</w:t>
            </w:r>
          </w:p>
        </w:tc>
        <w:tc>
          <w:tcPr>
            <w:vAlign w:val="center"/>
          </w:tcPr>
          <w:p w14:paraId="473F06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11000.00 </w:t>
            </w:r>
          </w:p>
        </w:tc>
        <w:tc>
          <w:tcPr>
            <w:vAlign w:val="center"/>
          </w:tcPr>
          <w:p w14:paraId="55E7E71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5500.00</w:t>
            </w:r>
          </w:p>
        </w:tc>
        <w:tc>
          <w:tcPr>
            <w:vAlign w:val="center"/>
          </w:tcPr>
          <w:p w14:paraId="1302CB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5500.00</w:t>
            </w:r>
          </w:p>
        </w:tc>
        <w:tc>
          <w:tcPr>
            <w:vAlign w:val="center"/>
          </w:tcPr>
          <w:p w14:paraId="34F95E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31B534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AF1F6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5E80B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CA07A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3A108A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E8200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96C52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A835C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408D6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678CDA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2406F83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61572B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19591.00 </w:t>
            </w:r>
          </w:p>
        </w:tc>
        <w:tc>
          <w:tcPr>
            <w:vAlign w:val="center"/>
          </w:tcPr>
          <w:p w14:paraId="61BC2B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148.50</w:t>
            </w:r>
          </w:p>
        </w:tc>
        <w:tc>
          <w:tcPr>
            <w:vAlign w:val="center"/>
          </w:tcPr>
          <w:p w14:paraId="3903AB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291.50</w:t>
            </w:r>
          </w:p>
        </w:tc>
        <w:tc>
          <w:tcPr>
            <w:vAlign w:val="center"/>
          </w:tcPr>
          <w:p w14:paraId="309AD7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E78D3C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392E8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7573BB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C72789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6D4EF0F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0CAFE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0FFAD5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0B3622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r>
      <w:tr w14:paraId="70D961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9542F4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49802C4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支付债券利息</w:t>
            </w:r>
          </w:p>
        </w:tc>
        <w:tc>
          <w:tcPr>
            <w:vAlign w:val="center"/>
          </w:tcPr>
          <w:p w14:paraId="5C08F52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8580.00 </w:t>
            </w:r>
          </w:p>
        </w:tc>
        <w:tc>
          <w:tcPr>
            <w:vAlign w:val="center"/>
          </w:tcPr>
          <w:p w14:paraId="72D2A5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143.00</w:t>
            </w:r>
          </w:p>
        </w:tc>
        <w:tc>
          <w:tcPr>
            <w:vAlign w:val="center"/>
          </w:tcPr>
          <w:p w14:paraId="0BDE38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61347E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BB888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EEA8C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4CA02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2E8A7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E00CF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C98BA3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71B53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6FCB90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r>
      <w:tr w14:paraId="3BCC3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3B84DC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540BCB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支付债券发行费用</w:t>
            </w:r>
          </w:p>
        </w:tc>
        <w:tc>
          <w:tcPr>
            <w:vAlign w:val="center"/>
          </w:tcPr>
          <w:p w14:paraId="2350D61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 </w:t>
            </w:r>
          </w:p>
        </w:tc>
        <w:tc>
          <w:tcPr>
            <w:vAlign w:val="center"/>
          </w:tcPr>
          <w:p w14:paraId="6FD9D8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5.50</w:t>
            </w:r>
          </w:p>
        </w:tc>
        <w:tc>
          <w:tcPr>
            <w:vAlign w:val="center"/>
          </w:tcPr>
          <w:p w14:paraId="538C5E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5.50</w:t>
            </w:r>
          </w:p>
        </w:tc>
        <w:tc>
          <w:tcPr>
            <w:vAlign w:val="center"/>
          </w:tcPr>
          <w:p w14:paraId="594492B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41A8B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AB6C4E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21AD51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CA402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82A42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71800B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0521EA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C6ED0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490D85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5E08A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w:t>
            </w:r>
          </w:p>
        </w:tc>
        <w:tc>
          <w:tcPr>
            <w:vAlign w:val="center"/>
          </w:tcPr>
          <w:p w14:paraId="476E1F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支付专项债券本金</w:t>
            </w:r>
          </w:p>
        </w:tc>
        <w:tc>
          <w:tcPr>
            <w:vAlign w:val="center"/>
          </w:tcPr>
          <w:p w14:paraId="18B2E10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11000.00 </w:t>
            </w:r>
          </w:p>
        </w:tc>
        <w:tc>
          <w:tcPr>
            <w:vAlign w:val="center"/>
          </w:tcPr>
          <w:p w14:paraId="6DD9B28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019D62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A9B84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06E8BF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222459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0DC01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844F3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E032A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47B44F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D2F28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6BA44B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6F27A8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444CBE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四</w:t>
            </w:r>
          </w:p>
        </w:tc>
        <w:tc>
          <w:tcPr>
            <w:vAlign w:val="center"/>
          </w:tcPr>
          <w:p w14:paraId="29F713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现金流量总计</w:t>
            </w:r>
          </w:p>
        </w:tc>
        <w:tc>
          <w:tcPr>
            <w:vAlign w:val="center"/>
          </w:tcPr>
          <w:p w14:paraId="2F940F26">
            <w:pPr>
              <w:jc w:val="center"/>
              <w:rPr>
                <w:rFonts w:hint="eastAsia" w:ascii="仿宋" w:hAnsi="仿宋" w:eastAsia="仿宋" w:cs="仿宋"/>
                <w:color w:val="auto"/>
                <w:highlight w:val="none"/>
              </w:rPr>
            </w:pPr>
          </w:p>
        </w:tc>
        <w:tc>
          <w:tcPr>
            <w:vAlign w:val="center"/>
          </w:tcPr>
          <w:p w14:paraId="4F01479F">
            <w:pPr>
              <w:jc w:val="center"/>
              <w:rPr>
                <w:rFonts w:hint="eastAsia" w:ascii="仿宋" w:hAnsi="仿宋" w:eastAsia="仿宋" w:cs="仿宋"/>
                <w:color w:val="auto"/>
                <w:highlight w:val="none"/>
              </w:rPr>
            </w:pPr>
          </w:p>
        </w:tc>
        <w:tc>
          <w:tcPr>
            <w:vAlign w:val="center"/>
          </w:tcPr>
          <w:p w14:paraId="4B8159DD">
            <w:pPr>
              <w:jc w:val="center"/>
              <w:rPr>
                <w:rFonts w:hint="eastAsia" w:ascii="仿宋" w:hAnsi="仿宋" w:eastAsia="仿宋" w:cs="仿宋"/>
                <w:color w:val="auto"/>
                <w:highlight w:val="none"/>
              </w:rPr>
            </w:pPr>
          </w:p>
        </w:tc>
        <w:tc>
          <w:tcPr>
            <w:vAlign w:val="center"/>
          </w:tcPr>
          <w:p w14:paraId="243C0F75">
            <w:pPr>
              <w:jc w:val="center"/>
              <w:rPr>
                <w:rFonts w:hint="eastAsia" w:ascii="仿宋" w:hAnsi="仿宋" w:eastAsia="仿宋" w:cs="仿宋"/>
                <w:color w:val="auto"/>
                <w:highlight w:val="none"/>
              </w:rPr>
            </w:pPr>
          </w:p>
        </w:tc>
        <w:tc>
          <w:tcPr>
            <w:vAlign w:val="center"/>
          </w:tcPr>
          <w:p w14:paraId="42D6D869">
            <w:pPr>
              <w:jc w:val="center"/>
              <w:rPr>
                <w:rFonts w:hint="eastAsia" w:ascii="仿宋" w:hAnsi="仿宋" w:eastAsia="仿宋" w:cs="仿宋"/>
                <w:color w:val="auto"/>
                <w:highlight w:val="none"/>
              </w:rPr>
            </w:pPr>
          </w:p>
        </w:tc>
        <w:tc>
          <w:tcPr>
            <w:vAlign w:val="center"/>
          </w:tcPr>
          <w:p w14:paraId="258DF6E3">
            <w:pPr>
              <w:jc w:val="center"/>
              <w:rPr>
                <w:rFonts w:hint="eastAsia" w:ascii="仿宋" w:hAnsi="仿宋" w:eastAsia="仿宋" w:cs="仿宋"/>
                <w:color w:val="auto"/>
                <w:highlight w:val="none"/>
              </w:rPr>
            </w:pPr>
          </w:p>
        </w:tc>
        <w:tc>
          <w:tcPr>
            <w:vAlign w:val="center"/>
          </w:tcPr>
          <w:p w14:paraId="454B7033">
            <w:pPr>
              <w:jc w:val="center"/>
              <w:rPr>
                <w:rFonts w:hint="eastAsia" w:ascii="仿宋" w:hAnsi="仿宋" w:eastAsia="仿宋" w:cs="仿宋"/>
                <w:color w:val="auto"/>
                <w:highlight w:val="none"/>
              </w:rPr>
            </w:pPr>
          </w:p>
        </w:tc>
        <w:tc>
          <w:tcPr>
            <w:vAlign w:val="center"/>
          </w:tcPr>
          <w:p w14:paraId="28884B8A">
            <w:pPr>
              <w:jc w:val="center"/>
              <w:rPr>
                <w:rFonts w:hint="eastAsia" w:ascii="仿宋" w:hAnsi="仿宋" w:eastAsia="仿宋" w:cs="仿宋"/>
                <w:color w:val="auto"/>
                <w:highlight w:val="none"/>
              </w:rPr>
            </w:pPr>
          </w:p>
        </w:tc>
        <w:tc>
          <w:tcPr>
            <w:vAlign w:val="center"/>
          </w:tcPr>
          <w:p w14:paraId="7D449F3B">
            <w:pPr>
              <w:jc w:val="center"/>
              <w:rPr>
                <w:rFonts w:hint="eastAsia" w:ascii="仿宋" w:hAnsi="仿宋" w:eastAsia="仿宋" w:cs="仿宋"/>
                <w:color w:val="auto"/>
                <w:highlight w:val="none"/>
              </w:rPr>
            </w:pPr>
          </w:p>
        </w:tc>
        <w:tc>
          <w:tcPr>
            <w:vAlign w:val="center"/>
          </w:tcPr>
          <w:p w14:paraId="22F7B8D7">
            <w:pPr>
              <w:jc w:val="center"/>
              <w:rPr>
                <w:rFonts w:hint="eastAsia" w:ascii="仿宋" w:hAnsi="仿宋" w:eastAsia="仿宋" w:cs="仿宋"/>
                <w:color w:val="auto"/>
                <w:highlight w:val="none"/>
              </w:rPr>
            </w:pPr>
          </w:p>
        </w:tc>
        <w:tc>
          <w:tcPr>
            <w:vAlign w:val="center"/>
          </w:tcPr>
          <w:p w14:paraId="7DD01A47">
            <w:pPr>
              <w:jc w:val="center"/>
              <w:rPr>
                <w:rFonts w:hint="eastAsia" w:ascii="仿宋" w:hAnsi="仿宋" w:eastAsia="仿宋" w:cs="仿宋"/>
                <w:color w:val="auto"/>
                <w:highlight w:val="none"/>
              </w:rPr>
            </w:pPr>
          </w:p>
        </w:tc>
        <w:tc>
          <w:tcPr>
            <w:vAlign w:val="center"/>
          </w:tcPr>
          <w:p w14:paraId="28CF93AC">
            <w:pPr>
              <w:jc w:val="center"/>
              <w:rPr>
                <w:rFonts w:hint="eastAsia" w:ascii="仿宋" w:hAnsi="仿宋" w:eastAsia="仿宋" w:cs="仿宋"/>
                <w:color w:val="auto"/>
                <w:highlight w:val="none"/>
              </w:rPr>
            </w:pPr>
          </w:p>
        </w:tc>
      </w:tr>
      <w:tr w14:paraId="3671D9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2F050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661FA2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项目期的期初资金</w:t>
            </w:r>
          </w:p>
        </w:tc>
        <w:tc>
          <w:tcPr>
            <w:vAlign w:val="center"/>
          </w:tcPr>
          <w:p w14:paraId="0F9BC0D3">
            <w:pPr>
              <w:jc w:val="center"/>
              <w:rPr>
                <w:rFonts w:hint="eastAsia" w:ascii="仿宋" w:hAnsi="仿宋" w:eastAsia="仿宋" w:cs="仿宋"/>
                <w:color w:val="auto"/>
                <w:highlight w:val="none"/>
              </w:rPr>
            </w:pPr>
          </w:p>
        </w:tc>
        <w:tc>
          <w:tcPr>
            <w:vAlign w:val="center"/>
          </w:tcPr>
          <w:p w14:paraId="533A41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1D340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998A2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2EEE7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315.52</w:t>
            </w:r>
          </w:p>
        </w:tc>
        <w:tc>
          <w:tcPr>
            <w:vAlign w:val="center"/>
          </w:tcPr>
          <w:p w14:paraId="60CAFD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663.21</w:t>
            </w:r>
          </w:p>
        </w:tc>
        <w:tc>
          <w:tcPr>
            <w:vAlign w:val="center"/>
          </w:tcPr>
          <w:p w14:paraId="4685CF1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1039.90</w:t>
            </w:r>
          </w:p>
        </w:tc>
        <w:tc>
          <w:tcPr>
            <w:vAlign w:val="center"/>
          </w:tcPr>
          <w:p w14:paraId="2AA3D9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1461.14</w:t>
            </w:r>
          </w:p>
        </w:tc>
        <w:tc>
          <w:tcPr>
            <w:vAlign w:val="center"/>
          </w:tcPr>
          <w:p w14:paraId="52D633A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1903.95</w:t>
            </w:r>
          </w:p>
        </w:tc>
        <w:tc>
          <w:tcPr>
            <w:vAlign w:val="center"/>
          </w:tcPr>
          <w:p w14:paraId="7FAD32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2346.77</w:t>
            </w:r>
          </w:p>
        </w:tc>
        <w:tc>
          <w:tcPr>
            <w:vAlign w:val="center"/>
          </w:tcPr>
          <w:p w14:paraId="520BF7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2811.47</w:t>
            </w:r>
          </w:p>
        </w:tc>
        <w:tc>
          <w:tcPr>
            <w:vAlign w:val="center"/>
          </w:tcPr>
          <w:p w14:paraId="32F9F75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3276.17</w:t>
            </w:r>
          </w:p>
        </w:tc>
      </w:tr>
      <w:tr w14:paraId="003D2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F460E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1F75B94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项目期内现金变动（一+二+三）</w:t>
            </w:r>
          </w:p>
        </w:tc>
        <w:tc>
          <w:tcPr>
            <w:vAlign w:val="center"/>
          </w:tcPr>
          <w:p w14:paraId="618B96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2865.57 </w:t>
            </w:r>
          </w:p>
        </w:tc>
        <w:tc>
          <w:tcPr>
            <w:vAlign w:val="center"/>
          </w:tcPr>
          <w:p w14:paraId="0CF4702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B3086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E867D8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315.52</w:t>
            </w:r>
          </w:p>
        </w:tc>
        <w:tc>
          <w:tcPr>
            <w:vAlign w:val="center"/>
          </w:tcPr>
          <w:p w14:paraId="324F31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347.69</w:t>
            </w:r>
          </w:p>
        </w:tc>
        <w:tc>
          <w:tcPr>
            <w:vAlign w:val="center"/>
          </w:tcPr>
          <w:p w14:paraId="35B85D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376.69</w:t>
            </w:r>
          </w:p>
        </w:tc>
        <w:tc>
          <w:tcPr>
            <w:vAlign w:val="center"/>
          </w:tcPr>
          <w:p w14:paraId="66042A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421.24</w:t>
            </w:r>
          </w:p>
        </w:tc>
        <w:tc>
          <w:tcPr>
            <w:vAlign w:val="center"/>
          </w:tcPr>
          <w:p w14:paraId="69466CC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442.81</w:t>
            </w:r>
          </w:p>
        </w:tc>
        <w:tc>
          <w:tcPr>
            <w:vAlign w:val="center"/>
          </w:tcPr>
          <w:p w14:paraId="7911F2A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442.81</w:t>
            </w:r>
          </w:p>
        </w:tc>
        <w:tc>
          <w:tcPr>
            <w:vAlign w:val="center"/>
          </w:tcPr>
          <w:p w14:paraId="102FE3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464.70</w:t>
            </w:r>
          </w:p>
        </w:tc>
        <w:tc>
          <w:tcPr>
            <w:vAlign w:val="center"/>
          </w:tcPr>
          <w:p w14:paraId="2089DE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464.70</w:t>
            </w:r>
          </w:p>
        </w:tc>
        <w:tc>
          <w:tcPr>
            <w:vAlign w:val="center"/>
          </w:tcPr>
          <w:p w14:paraId="501E9E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464.70</w:t>
            </w:r>
          </w:p>
        </w:tc>
      </w:tr>
      <w:tr w14:paraId="127B5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6C2BB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w:t>
            </w:r>
          </w:p>
        </w:tc>
        <w:tc>
          <w:tcPr>
            <w:vAlign w:val="center"/>
          </w:tcPr>
          <w:p w14:paraId="5B70971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项目期的期末资金</w:t>
            </w:r>
          </w:p>
        </w:tc>
        <w:tc>
          <w:tcPr>
            <w:vAlign w:val="center"/>
          </w:tcPr>
          <w:p w14:paraId="76CDD3D1">
            <w:pPr>
              <w:jc w:val="center"/>
              <w:rPr>
                <w:rFonts w:hint="eastAsia" w:ascii="仿宋" w:hAnsi="仿宋" w:eastAsia="仿宋" w:cs="仿宋"/>
                <w:color w:val="auto"/>
                <w:highlight w:val="none"/>
              </w:rPr>
            </w:pPr>
          </w:p>
        </w:tc>
        <w:tc>
          <w:tcPr>
            <w:vAlign w:val="center"/>
          </w:tcPr>
          <w:p w14:paraId="56F8202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5AAF8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5759C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315.52</w:t>
            </w:r>
          </w:p>
        </w:tc>
        <w:tc>
          <w:tcPr>
            <w:vAlign w:val="center"/>
          </w:tcPr>
          <w:p w14:paraId="49B939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663.21</w:t>
            </w:r>
          </w:p>
        </w:tc>
        <w:tc>
          <w:tcPr>
            <w:vAlign w:val="center"/>
          </w:tcPr>
          <w:p w14:paraId="0353B7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1039.90</w:t>
            </w:r>
          </w:p>
        </w:tc>
        <w:tc>
          <w:tcPr>
            <w:vAlign w:val="center"/>
          </w:tcPr>
          <w:p w14:paraId="30B1F3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1461.14</w:t>
            </w:r>
          </w:p>
        </w:tc>
        <w:tc>
          <w:tcPr>
            <w:vAlign w:val="center"/>
          </w:tcPr>
          <w:p w14:paraId="0CDC7E4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1903.95</w:t>
            </w:r>
          </w:p>
        </w:tc>
        <w:tc>
          <w:tcPr>
            <w:vAlign w:val="center"/>
          </w:tcPr>
          <w:p w14:paraId="553296F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2346.77</w:t>
            </w:r>
          </w:p>
        </w:tc>
        <w:tc>
          <w:tcPr>
            <w:vAlign w:val="center"/>
          </w:tcPr>
          <w:p w14:paraId="24F60CD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2811.47</w:t>
            </w:r>
          </w:p>
        </w:tc>
        <w:tc>
          <w:tcPr>
            <w:vAlign w:val="center"/>
          </w:tcPr>
          <w:p w14:paraId="6DC861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3276.17</w:t>
            </w:r>
          </w:p>
        </w:tc>
        <w:tc>
          <w:tcPr>
            <w:vAlign w:val="center"/>
          </w:tcPr>
          <w:p w14:paraId="5B3997D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3740.87</w:t>
            </w:r>
          </w:p>
        </w:tc>
      </w:tr>
    </w:tbl>
    <w:p w14:paraId="5F0CD95D">
      <w:pPr>
        <w:pStyle w:val="4"/>
        <w:rPr>
          <w:rFonts w:hint="eastAsia" w:ascii="仿宋" w:hAnsi="仿宋" w:eastAsia="仿宋" w:cs="仿宋"/>
          <w:color w:val="auto"/>
          <w:highlight w:val="none"/>
          <w:lang w:val="en-US" w:eastAsia="zh-CN"/>
        </w:rPr>
      </w:pPr>
    </w:p>
    <w:p w14:paraId="525A8B16">
      <w:pPr>
        <w:pStyle w:val="5"/>
        <w:rPr>
          <w:rFonts w:hint="eastAsia" w:ascii="仿宋" w:hAnsi="仿宋" w:eastAsia="仿宋" w:cs="仿宋"/>
          <w:color w:val="auto"/>
          <w:highlight w:val="none"/>
          <w:lang w:val="en-US" w:eastAsia="zh-CN"/>
        </w:rPr>
        <w:sectPr>
          <w:headerReference r:id="rId5" w:type="default"/>
          <w:pgSz w:w="16838" w:h="11906" w:orient="landscape"/>
          <w:pgMar w:top="720" w:right="720" w:bottom="720" w:left="720" w:header="851" w:footer="992" w:gutter="0"/>
          <w:pgNumType w:fmt="decimal"/>
          <w:cols w:space="720" w:num="1"/>
          <w:docGrid w:type="lines" w:linePitch="381" w:charSpace="0"/>
        </w:sectPr>
      </w:pPr>
    </w:p>
    <w:p w14:paraId="46E309EC">
      <w:pPr>
        <w:pStyle w:val="4"/>
        <w:keepNext w:val="0"/>
        <w:keepLines w:val="0"/>
        <w:pageBreakBefore w:val="0"/>
        <w:widowControl/>
        <w:kinsoku/>
        <w:wordWrap/>
        <w:overflowPunct/>
        <w:topLinePunct w:val="0"/>
        <w:autoSpaceDE/>
        <w:autoSpaceDN/>
        <w:bidi w:val="0"/>
        <w:spacing w:line="0" w:lineRule="atLeast"/>
        <w:jc w:val="center"/>
        <w:outlineLvl w:val="9"/>
        <w:rPr>
          <w:rFonts w:hint="eastAsia" w:ascii="仿宋" w:hAnsi="仿宋" w:eastAsia="仿宋" w:cs="仿宋"/>
          <w:color w:val="auto"/>
          <w:highlight w:val="none"/>
          <w:lang w:val="en-US" w:eastAsia="zh-CN"/>
        </w:rPr>
      </w:pPr>
      <w:r>
        <w:rPr>
          <w:rFonts w:hint="eastAsia" w:ascii="仿宋" w:hAnsi="仿宋" w:eastAsia="仿宋" w:cs="仿宋"/>
          <w:b/>
          <w:bCs/>
          <w:color w:val="auto"/>
          <w:sz w:val="28"/>
          <w:szCs w:val="28"/>
          <w:highlight w:val="none"/>
          <w:lang w:val="en-US" w:eastAsia="zh-CN"/>
        </w:rPr>
        <w:t>资金平衡测算表（续表</w:t>
      </w: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lang w:val="en-US" w:eastAsia="zh-CN"/>
        </w:rPr>
        <w:t>）</w:t>
      </w:r>
    </w:p>
    <w:p w14:paraId="3C398957">
      <w:pPr>
        <w:pStyle w:val="5"/>
        <w:jc w:val="righ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单位：万元</w:t>
      </w:r>
    </w:p>
    <w:tbl>
      <w:tblPr>
        <w:tblStyle w:val="10"/>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6"/>
        <w:gridCol w:w="2536"/>
        <w:gridCol w:w="936"/>
        <w:gridCol w:w="776"/>
        <w:gridCol w:w="776"/>
        <w:gridCol w:w="776"/>
        <w:gridCol w:w="776"/>
        <w:gridCol w:w="776"/>
        <w:gridCol w:w="776"/>
        <w:gridCol w:w="776"/>
        <w:gridCol w:w="776"/>
        <w:gridCol w:w="776"/>
        <w:gridCol w:w="776"/>
      </w:tblGrid>
      <w:tr w14:paraId="0EE3C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restart"/>
            <w:vAlign w:val="center"/>
          </w:tcPr>
          <w:p w14:paraId="34B4C2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序号</w:t>
            </w:r>
          </w:p>
        </w:tc>
        <w:tc>
          <w:tcPr>
            <w:vMerge w:val="restart"/>
            <w:vAlign w:val="center"/>
          </w:tcPr>
          <w:p w14:paraId="661351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w:t>
            </w:r>
          </w:p>
        </w:tc>
        <w:tc>
          <w:tcPr>
            <w:vMerge w:val="restart"/>
            <w:vAlign w:val="center"/>
          </w:tcPr>
          <w:p w14:paraId="2F4B63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合计</w:t>
            </w:r>
          </w:p>
        </w:tc>
        <w:tc>
          <w:tcPr>
            <w:gridSpan w:val="10"/>
            <w:vAlign w:val="center"/>
          </w:tcPr>
          <w:p w14:paraId="3EB5BA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运营期</w:t>
            </w:r>
          </w:p>
        </w:tc>
      </w:tr>
      <w:tr w14:paraId="131288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continue"/>
            <w:vAlign w:val="center"/>
          </w:tcPr>
          <w:p w14:paraId="3D698751">
            <w:pPr>
              <w:jc w:val="center"/>
              <w:rPr>
                <w:rFonts w:hint="eastAsia" w:ascii="仿宋" w:hAnsi="仿宋" w:eastAsia="仿宋" w:cs="仿宋"/>
                <w:color w:val="auto"/>
                <w:highlight w:val="none"/>
              </w:rPr>
            </w:pPr>
          </w:p>
        </w:tc>
        <w:tc>
          <w:tcPr>
            <w:vMerge w:val="continue"/>
            <w:vAlign w:val="center"/>
          </w:tcPr>
          <w:p w14:paraId="1F8EC7A5">
            <w:pPr>
              <w:jc w:val="center"/>
              <w:rPr>
                <w:rFonts w:hint="eastAsia" w:ascii="仿宋" w:hAnsi="仿宋" w:eastAsia="仿宋" w:cs="仿宋"/>
                <w:color w:val="auto"/>
                <w:highlight w:val="none"/>
              </w:rPr>
            </w:pPr>
          </w:p>
        </w:tc>
        <w:tc>
          <w:tcPr>
            <w:vMerge w:val="continue"/>
            <w:vAlign w:val="center"/>
          </w:tcPr>
          <w:p w14:paraId="02F6B0FF">
            <w:pPr>
              <w:jc w:val="center"/>
              <w:rPr>
                <w:rFonts w:hint="eastAsia" w:ascii="仿宋" w:hAnsi="仿宋" w:eastAsia="仿宋" w:cs="仿宋"/>
                <w:color w:val="auto"/>
                <w:highlight w:val="none"/>
              </w:rPr>
            </w:pPr>
          </w:p>
        </w:tc>
        <w:tc>
          <w:tcPr>
            <w:vAlign w:val="center"/>
          </w:tcPr>
          <w:p w14:paraId="21AD094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2037年</w:t>
            </w:r>
          </w:p>
        </w:tc>
        <w:tc>
          <w:tcPr>
            <w:vAlign w:val="center"/>
          </w:tcPr>
          <w:p w14:paraId="26500D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2038年</w:t>
            </w:r>
          </w:p>
        </w:tc>
        <w:tc>
          <w:tcPr>
            <w:vAlign w:val="center"/>
          </w:tcPr>
          <w:p w14:paraId="2C4FE70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2039年</w:t>
            </w:r>
          </w:p>
        </w:tc>
        <w:tc>
          <w:tcPr>
            <w:vAlign w:val="center"/>
          </w:tcPr>
          <w:p w14:paraId="22356B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2040年</w:t>
            </w:r>
          </w:p>
        </w:tc>
        <w:tc>
          <w:tcPr>
            <w:vAlign w:val="center"/>
          </w:tcPr>
          <w:p w14:paraId="3BE4178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2041年</w:t>
            </w:r>
          </w:p>
        </w:tc>
        <w:tc>
          <w:tcPr>
            <w:vAlign w:val="center"/>
          </w:tcPr>
          <w:p w14:paraId="63C135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2042年</w:t>
            </w:r>
          </w:p>
        </w:tc>
        <w:tc>
          <w:tcPr>
            <w:vAlign w:val="center"/>
          </w:tcPr>
          <w:p w14:paraId="11FD79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2043年</w:t>
            </w:r>
          </w:p>
        </w:tc>
        <w:tc>
          <w:tcPr>
            <w:vAlign w:val="center"/>
          </w:tcPr>
          <w:p w14:paraId="2F9979F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2044年</w:t>
            </w:r>
          </w:p>
        </w:tc>
        <w:tc>
          <w:tcPr>
            <w:vAlign w:val="center"/>
          </w:tcPr>
          <w:p w14:paraId="70DBAA3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2045年</w:t>
            </w:r>
          </w:p>
        </w:tc>
        <w:tc>
          <w:tcPr>
            <w:vAlign w:val="center"/>
          </w:tcPr>
          <w:p w14:paraId="6FE1500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2046年</w:t>
            </w:r>
          </w:p>
        </w:tc>
      </w:tr>
      <w:tr w14:paraId="4CCEEF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CF68F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一</w:t>
            </w:r>
          </w:p>
        </w:tc>
        <w:tc>
          <w:tcPr>
            <w:vAlign w:val="center"/>
          </w:tcPr>
          <w:p w14:paraId="09E7BEB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经营活动产生的净现金流量</w:t>
            </w:r>
          </w:p>
        </w:tc>
        <w:tc>
          <w:tcPr>
            <w:vAlign w:val="center"/>
          </w:tcPr>
          <w:p w14:paraId="4322649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22016.57 </w:t>
            </w:r>
          </w:p>
        </w:tc>
        <w:tc>
          <w:tcPr>
            <w:vAlign w:val="center"/>
          </w:tcPr>
          <w:p w14:paraId="416384B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773.46</w:t>
            </w:r>
          </w:p>
        </w:tc>
        <w:tc>
          <w:tcPr>
            <w:vAlign w:val="center"/>
          </w:tcPr>
          <w:p w14:paraId="030EA7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773.46</w:t>
            </w:r>
          </w:p>
        </w:tc>
        <w:tc>
          <w:tcPr>
            <w:vAlign w:val="center"/>
          </w:tcPr>
          <w:p w14:paraId="174B8F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773.46</w:t>
            </w:r>
          </w:p>
        </w:tc>
        <w:tc>
          <w:tcPr>
            <w:vAlign w:val="center"/>
          </w:tcPr>
          <w:p w14:paraId="0B8050F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797.10</w:t>
            </w:r>
          </w:p>
        </w:tc>
        <w:tc>
          <w:tcPr>
            <w:vAlign w:val="center"/>
          </w:tcPr>
          <w:p w14:paraId="48DA2E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797.10</w:t>
            </w:r>
          </w:p>
        </w:tc>
        <w:tc>
          <w:tcPr>
            <w:vAlign w:val="center"/>
          </w:tcPr>
          <w:p w14:paraId="207A6A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797.10</w:t>
            </w:r>
          </w:p>
        </w:tc>
        <w:tc>
          <w:tcPr>
            <w:vAlign w:val="center"/>
          </w:tcPr>
          <w:p w14:paraId="1280991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766.56</w:t>
            </w:r>
          </w:p>
        </w:tc>
        <w:tc>
          <w:tcPr>
            <w:vAlign w:val="center"/>
          </w:tcPr>
          <w:p w14:paraId="3B14CE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742.84</w:t>
            </w:r>
          </w:p>
        </w:tc>
        <w:tc>
          <w:tcPr>
            <w:vAlign w:val="center"/>
          </w:tcPr>
          <w:p w14:paraId="76331D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742.84</w:t>
            </w:r>
          </w:p>
        </w:tc>
        <w:tc>
          <w:tcPr>
            <w:vAlign w:val="center"/>
          </w:tcPr>
          <w:p w14:paraId="5F1CC3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765.17</w:t>
            </w:r>
          </w:p>
        </w:tc>
      </w:tr>
      <w:tr w14:paraId="2D936B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1C566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649180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482C97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31530.21 </w:t>
            </w:r>
          </w:p>
        </w:tc>
        <w:tc>
          <w:tcPr>
            <w:vAlign w:val="center"/>
          </w:tcPr>
          <w:p w14:paraId="0BCD73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1040.36</w:t>
            </w:r>
          </w:p>
        </w:tc>
        <w:tc>
          <w:tcPr>
            <w:vAlign w:val="center"/>
          </w:tcPr>
          <w:p w14:paraId="380F66B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1040.36</w:t>
            </w:r>
          </w:p>
        </w:tc>
        <w:tc>
          <w:tcPr>
            <w:vAlign w:val="center"/>
          </w:tcPr>
          <w:p w14:paraId="62755C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1040.36</w:t>
            </w:r>
          </w:p>
        </w:tc>
        <w:tc>
          <w:tcPr>
            <w:vAlign w:val="center"/>
          </w:tcPr>
          <w:p w14:paraId="06138D0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1079.45</w:t>
            </w:r>
          </w:p>
        </w:tc>
        <w:tc>
          <w:tcPr>
            <w:vAlign w:val="center"/>
          </w:tcPr>
          <w:p w14:paraId="51430D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1079.45</w:t>
            </w:r>
          </w:p>
        </w:tc>
        <w:tc>
          <w:tcPr>
            <w:vAlign w:val="center"/>
          </w:tcPr>
          <w:p w14:paraId="59FECF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1079.45</w:t>
            </w:r>
          </w:p>
        </w:tc>
        <w:tc>
          <w:tcPr>
            <w:vAlign w:val="center"/>
          </w:tcPr>
          <w:p w14:paraId="03755BF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1120.11</w:t>
            </w:r>
          </w:p>
        </w:tc>
        <w:tc>
          <w:tcPr>
            <w:vAlign w:val="center"/>
          </w:tcPr>
          <w:p w14:paraId="4BA59C0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1120.11</w:t>
            </w:r>
          </w:p>
        </w:tc>
        <w:tc>
          <w:tcPr>
            <w:vAlign w:val="center"/>
          </w:tcPr>
          <w:p w14:paraId="3875E8A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1120.11</w:t>
            </w:r>
          </w:p>
        </w:tc>
        <w:tc>
          <w:tcPr>
            <w:vAlign w:val="center"/>
          </w:tcPr>
          <w:p w14:paraId="566941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1162.40</w:t>
            </w:r>
          </w:p>
        </w:tc>
      </w:tr>
      <w:tr w14:paraId="7169EE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ECB00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1E1526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经营收入</w:t>
            </w:r>
          </w:p>
        </w:tc>
        <w:tc>
          <w:tcPr>
            <w:vAlign w:val="center"/>
          </w:tcPr>
          <w:p w14:paraId="160C27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31530.21 </w:t>
            </w:r>
          </w:p>
        </w:tc>
        <w:tc>
          <w:tcPr>
            <w:vAlign w:val="center"/>
          </w:tcPr>
          <w:p w14:paraId="474065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1040.36</w:t>
            </w:r>
          </w:p>
        </w:tc>
        <w:tc>
          <w:tcPr>
            <w:vAlign w:val="center"/>
          </w:tcPr>
          <w:p w14:paraId="4C2CFD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1040.36</w:t>
            </w:r>
          </w:p>
        </w:tc>
        <w:tc>
          <w:tcPr>
            <w:vAlign w:val="center"/>
          </w:tcPr>
          <w:p w14:paraId="0E2F221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1040.36</w:t>
            </w:r>
          </w:p>
        </w:tc>
        <w:tc>
          <w:tcPr>
            <w:vAlign w:val="center"/>
          </w:tcPr>
          <w:p w14:paraId="7D835E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1079.45</w:t>
            </w:r>
          </w:p>
        </w:tc>
        <w:tc>
          <w:tcPr>
            <w:vAlign w:val="center"/>
          </w:tcPr>
          <w:p w14:paraId="7C9F675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1079.45</w:t>
            </w:r>
          </w:p>
        </w:tc>
        <w:tc>
          <w:tcPr>
            <w:vAlign w:val="center"/>
          </w:tcPr>
          <w:p w14:paraId="7EC75D5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1079.45</w:t>
            </w:r>
          </w:p>
        </w:tc>
        <w:tc>
          <w:tcPr>
            <w:vAlign w:val="center"/>
          </w:tcPr>
          <w:p w14:paraId="306A493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1120.11</w:t>
            </w:r>
          </w:p>
        </w:tc>
        <w:tc>
          <w:tcPr>
            <w:vAlign w:val="center"/>
          </w:tcPr>
          <w:p w14:paraId="4ADD56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1120.11</w:t>
            </w:r>
          </w:p>
        </w:tc>
        <w:tc>
          <w:tcPr>
            <w:vAlign w:val="center"/>
          </w:tcPr>
          <w:p w14:paraId="484524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1120.11</w:t>
            </w:r>
          </w:p>
        </w:tc>
        <w:tc>
          <w:tcPr>
            <w:vAlign w:val="center"/>
          </w:tcPr>
          <w:p w14:paraId="1EF0A7E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1162.40</w:t>
            </w:r>
          </w:p>
        </w:tc>
      </w:tr>
      <w:tr w14:paraId="62C0C8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10A852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7D5F61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补贴收入</w:t>
            </w:r>
          </w:p>
        </w:tc>
        <w:tc>
          <w:tcPr>
            <w:vAlign w:val="center"/>
          </w:tcPr>
          <w:p w14:paraId="0D34F3E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36944B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E7674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0C7FD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26BAE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729AC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88EBE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2E870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2FD9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D0FC2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3E6AB8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4CB04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F2D92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340371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041A7B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9513.64 </w:t>
            </w:r>
          </w:p>
        </w:tc>
        <w:tc>
          <w:tcPr>
            <w:vAlign w:val="center"/>
          </w:tcPr>
          <w:p w14:paraId="14257C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266.90</w:t>
            </w:r>
          </w:p>
        </w:tc>
        <w:tc>
          <w:tcPr>
            <w:vAlign w:val="center"/>
          </w:tcPr>
          <w:p w14:paraId="348E20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266.90</w:t>
            </w:r>
          </w:p>
        </w:tc>
        <w:tc>
          <w:tcPr>
            <w:vAlign w:val="center"/>
          </w:tcPr>
          <w:p w14:paraId="2B6506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266.90</w:t>
            </w:r>
          </w:p>
        </w:tc>
        <w:tc>
          <w:tcPr>
            <w:vAlign w:val="center"/>
          </w:tcPr>
          <w:p w14:paraId="0F2E09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282.35</w:t>
            </w:r>
          </w:p>
        </w:tc>
        <w:tc>
          <w:tcPr>
            <w:vAlign w:val="center"/>
          </w:tcPr>
          <w:p w14:paraId="45DDCB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282.35</w:t>
            </w:r>
          </w:p>
        </w:tc>
        <w:tc>
          <w:tcPr>
            <w:vAlign w:val="center"/>
          </w:tcPr>
          <w:p w14:paraId="25A8F2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282.35</w:t>
            </w:r>
          </w:p>
        </w:tc>
        <w:tc>
          <w:tcPr>
            <w:vAlign w:val="center"/>
          </w:tcPr>
          <w:p w14:paraId="0BE52C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353.55</w:t>
            </w:r>
          </w:p>
        </w:tc>
        <w:tc>
          <w:tcPr>
            <w:vAlign w:val="center"/>
          </w:tcPr>
          <w:p w14:paraId="3EC54B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377.27</w:t>
            </w:r>
          </w:p>
        </w:tc>
        <w:tc>
          <w:tcPr>
            <w:vAlign w:val="center"/>
          </w:tcPr>
          <w:p w14:paraId="4CCB99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377.27</w:t>
            </w:r>
          </w:p>
        </w:tc>
        <w:tc>
          <w:tcPr>
            <w:vAlign w:val="center"/>
          </w:tcPr>
          <w:p w14:paraId="2AC711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397.23</w:t>
            </w:r>
          </w:p>
        </w:tc>
      </w:tr>
      <w:tr w14:paraId="403D87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B025A2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4A489D1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经营成本</w:t>
            </w:r>
          </w:p>
        </w:tc>
        <w:tc>
          <w:tcPr>
            <w:vAlign w:val="center"/>
          </w:tcPr>
          <w:p w14:paraId="2E92A8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4743.92 </w:t>
            </w:r>
          </w:p>
        </w:tc>
        <w:tc>
          <w:tcPr>
            <w:vAlign w:val="center"/>
          </w:tcPr>
          <w:p w14:paraId="76B1CB1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155.68</w:t>
            </w:r>
          </w:p>
        </w:tc>
        <w:tc>
          <w:tcPr>
            <w:vAlign w:val="center"/>
          </w:tcPr>
          <w:p w14:paraId="690D15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155.68</w:t>
            </w:r>
          </w:p>
        </w:tc>
        <w:tc>
          <w:tcPr>
            <w:vAlign w:val="center"/>
          </w:tcPr>
          <w:p w14:paraId="3F44C5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155.68</w:t>
            </w:r>
          </w:p>
        </w:tc>
        <w:tc>
          <w:tcPr>
            <w:vAlign w:val="center"/>
          </w:tcPr>
          <w:p w14:paraId="6E7946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161.11</w:t>
            </w:r>
          </w:p>
        </w:tc>
        <w:tc>
          <w:tcPr>
            <w:vAlign w:val="center"/>
          </w:tcPr>
          <w:p w14:paraId="48CCECA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161.11</w:t>
            </w:r>
          </w:p>
        </w:tc>
        <w:tc>
          <w:tcPr>
            <w:vAlign w:val="center"/>
          </w:tcPr>
          <w:p w14:paraId="457D6B4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161.11</w:t>
            </w:r>
          </w:p>
        </w:tc>
        <w:tc>
          <w:tcPr>
            <w:vAlign w:val="center"/>
          </w:tcPr>
          <w:p w14:paraId="7F54E38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166.80</w:t>
            </w:r>
          </w:p>
        </w:tc>
        <w:tc>
          <w:tcPr>
            <w:vAlign w:val="center"/>
          </w:tcPr>
          <w:p w14:paraId="2727D0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166.80</w:t>
            </w:r>
          </w:p>
        </w:tc>
        <w:tc>
          <w:tcPr>
            <w:vAlign w:val="center"/>
          </w:tcPr>
          <w:p w14:paraId="580E1C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166.80</w:t>
            </w:r>
          </w:p>
        </w:tc>
        <w:tc>
          <w:tcPr>
            <w:vAlign w:val="center"/>
          </w:tcPr>
          <w:p w14:paraId="0C7100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172.76</w:t>
            </w:r>
          </w:p>
        </w:tc>
      </w:tr>
      <w:tr w14:paraId="30BB6C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9114DF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3D27A2E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相关税费（税金及附加+所得税）</w:t>
            </w:r>
          </w:p>
        </w:tc>
        <w:tc>
          <w:tcPr>
            <w:vAlign w:val="center"/>
          </w:tcPr>
          <w:p w14:paraId="401049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4769.72 </w:t>
            </w:r>
          </w:p>
        </w:tc>
        <w:tc>
          <w:tcPr>
            <w:vAlign w:val="center"/>
          </w:tcPr>
          <w:p w14:paraId="0AA1BA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111.22</w:t>
            </w:r>
          </w:p>
        </w:tc>
        <w:tc>
          <w:tcPr>
            <w:vAlign w:val="center"/>
          </w:tcPr>
          <w:p w14:paraId="7946CC2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111.22</w:t>
            </w:r>
          </w:p>
        </w:tc>
        <w:tc>
          <w:tcPr>
            <w:vAlign w:val="center"/>
          </w:tcPr>
          <w:p w14:paraId="2225BA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111.22</w:t>
            </w:r>
          </w:p>
        </w:tc>
        <w:tc>
          <w:tcPr>
            <w:vAlign w:val="center"/>
          </w:tcPr>
          <w:p w14:paraId="571591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121.23</w:t>
            </w:r>
          </w:p>
        </w:tc>
        <w:tc>
          <w:tcPr>
            <w:vAlign w:val="center"/>
          </w:tcPr>
          <w:p w14:paraId="0F2FB4D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121.23</w:t>
            </w:r>
          </w:p>
        </w:tc>
        <w:tc>
          <w:tcPr>
            <w:vAlign w:val="center"/>
          </w:tcPr>
          <w:p w14:paraId="60E9C6D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121.23</w:t>
            </w:r>
          </w:p>
        </w:tc>
        <w:tc>
          <w:tcPr>
            <w:vAlign w:val="center"/>
          </w:tcPr>
          <w:p w14:paraId="6B611C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186.75</w:t>
            </w:r>
          </w:p>
        </w:tc>
        <w:tc>
          <w:tcPr>
            <w:vAlign w:val="center"/>
          </w:tcPr>
          <w:p w14:paraId="0E11BB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210.47</w:t>
            </w:r>
          </w:p>
        </w:tc>
        <w:tc>
          <w:tcPr>
            <w:vAlign w:val="center"/>
          </w:tcPr>
          <w:p w14:paraId="58A602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210.47</w:t>
            </w:r>
          </w:p>
        </w:tc>
        <w:tc>
          <w:tcPr>
            <w:vAlign w:val="center"/>
          </w:tcPr>
          <w:p w14:paraId="0D8DDA1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224.48</w:t>
            </w:r>
          </w:p>
        </w:tc>
      </w:tr>
      <w:tr w14:paraId="66AEC3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2E749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二</w:t>
            </w:r>
          </w:p>
        </w:tc>
        <w:tc>
          <w:tcPr>
            <w:vAlign w:val="center"/>
          </w:tcPr>
          <w:p w14:paraId="61C29C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投资活动净现金流量</w:t>
            </w:r>
          </w:p>
        </w:tc>
        <w:tc>
          <w:tcPr>
            <w:vAlign w:val="center"/>
          </w:tcPr>
          <w:p w14:paraId="6F3736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7CAD235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B2FF9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A23F99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4A2EE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B4CE01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996BA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001186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DC799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23B12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3B61E7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3B4401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739BE6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75D7B8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4A315DE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0B4E9595">
            <w:pPr>
              <w:jc w:val="center"/>
              <w:rPr>
                <w:rFonts w:hint="eastAsia" w:ascii="仿宋" w:hAnsi="仿宋" w:eastAsia="仿宋" w:cs="仿宋"/>
                <w:color w:val="auto"/>
                <w:highlight w:val="none"/>
              </w:rPr>
            </w:pPr>
          </w:p>
        </w:tc>
        <w:tc>
          <w:tcPr>
            <w:vAlign w:val="center"/>
          </w:tcPr>
          <w:p w14:paraId="4747B554">
            <w:pPr>
              <w:jc w:val="center"/>
              <w:rPr>
                <w:rFonts w:hint="eastAsia" w:ascii="仿宋" w:hAnsi="仿宋" w:eastAsia="仿宋" w:cs="仿宋"/>
                <w:color w:val="auto"/>
                <w:highlight w:val="none"/>
              </w:rPr>
            </w:pPr>
          </w:p>
        </w:tc>
        <w:tc>
          <w:tcPr>
            <w:vAlign w:val="center"/>
          </w:tcPr>
          <w:p w14:paraId="4F52E2AF">
            <w:pPr>
              <w:jc w:val="center"/>
              <w:rPr>
                <w:rFonts w:hint="eastAsia" w:ascii="仿宋" w:hAnsi="仿宋" w:eastAsia="仿宋" w:cs="仿宋"/>
                <w:color w:val="auto"/>
                <w:highlight w:val="none"/>
              </w:rPr>
            </w:pPr>
          </w:p>
        </w:tc>
        <w:tc>
          <w:tcPr>
            <w:vAlign w:val="center"/>
          </w:tcPr>
          <w:p w14:paraId="23011CAA">
            <w:pPr>
              <w:jc w:val="center"/>
              <w:rPr>
                <w:rFonts w:hint="eastAsia" w:ascii="仿宋" w:hAnsi="仿宋" w:eastAsia="仿宋" w:cs="仿宋"/>
                <w:color w:val="auto"/>
                <w:highlight w:val="none"/>
              </w:rPr>
            </w:pPr>
          </w:p>
        </w:tc>
        <w:tc>
          <w:tcPr>
            <w:vAlign w:val="center"/>
          </w:tcPr>
          <w:p w14:paraId="3542D3FA">
            <w:pPr>
              <w:jc w:val="center"/>
              <w:rPr>
                <w:rFonts w:hint="eastAsia" w:ascii="仿宋" w:hAnsi="仿宋" w:eastAsia="仿宋" w:cs="仿宋"/>
                <w:color w:val="auto"/>
                <w:highlight w:val="none"/>
              </w:rPr>
            </w:pPr>
          </w:p>
        </w:tc>
        <w:tc>
          <w:tcPr>
            <w:vAlign w:val="center"/>
          </w:tcPr>
          <w:p w14:paraId="6282D88D">
            <w:pPr>
              <w:jc w:val="center"/>
              <w:rPr>
                <w:rFonts w:hint="eastAsia" w:ascii="仿宋" w:hAnsi="仿宋" w:eastAsia="仿宋" w:cs="仿宋"/>
                <w:color w:val="auto"/>
                <w:highlight w:val="none"/>
              </w:rPr>
            </w:pPr>
          </w:p>
        </w:tc>
        <w:tc>
          <w:tcPr>
            <w:vAlign w:val="center"/>
          </w:tcPr>
          <w:p w14:paraId="5EFAD0C6">
            <w:pPr>
              <w:jc w:val="center"/>
              <w:rPr>
                <w:rFonts w:hint="eastAsia" w:ascii="仿宋" w:hAnsi="仿宋" w:eastAsia="仿宋" w:cs="仿宋"/>
                <w:color w:val="auto"/>
                <w:highlight w:val="none"/>
              </w:rPr>
            </w:pPr>
          </w:p>
        </w:tc>
        <w:tc>
          <w:tcPr>
            <w:vAlign w:val="center"/>
          </w:tcPr>
          <w:p w14:paraId="73229D7E">
            <w:pPr>
              <w:jc w:val="center"/>
              <w:rPr>
                <w:rFonts w:hint="eastAsia" w:ascii="仿宋" w:hAnsi="仿宋" w:eastAsia="仿宋" w:cs="仿宋"/>
                <w:color w:val="auto"/>
                <w:highlight w:val="none"/>
              </w:rPr>
            </w:pPr>
          </w:p>
        </w:tc>
        <w:tc>
          <w:tcPr>
            <w:vAlign w:val="center"/>
          </w:tcPr>
          <w:p w14:paraId="0F915692">
            <w:pPr>
              <w:jc w:val="center"/>
              <w:rPr>
                <w:rFonts w:hint="eastAsia" w:ascii="仿宋" w:hAnsi="仿宋" w:eastAsia="仿宋" w:cs="仿宋"/>
                <w:color w:val="auto"/>
                <w:highlight w:val="none"/>
              </w:rPr>
            </w:pPr>
          </w:p>
        </w:tc>
        <w:tc>
          <w:tcPr>
            <w:vAlign w:val="center"/>
          </w:tcPr>
          <w:p w14:paraId="2B0B8C76">
            <w:pPr>
              <w:jc w:val="center"/>
              <w:rPr>
                <w:rFonts w:hint="eastAsia" w:ascii="仿宋" w:hAnsi="仿宋" w:eastAsia="仿宋" w:cs="仿宋"/>
                <w:color w:val="auto"/>
                <w:highlight w:val="none"/>
              </w:rPr>
            </w:pPr>
          </w:p>
        </w:tc>
      </w:tr>
      <w:tr w14:paraId="0443D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34B3C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0885AC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处置投资物</w:t>
            </w:r>
          </w:p>
        </w:tc>
        <w:tc>
          <w:tcPr>
            <w:vAlign w:val="center"/>
          </w:tcPr>
          <w:p w14:paraId="70B34DC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524CD3B4">
            <w:pPr>
              <w:jc w:val="center"/>
              <w:rPr>
                <w:rFonts w:hint="eastAsia" w:ascii="仿宋" w:hAnsi="仿宋" w:eastAsia="仿宋" w:cs="仿宋"/>
                <w:color w:val="auto"/>
                <w:highlight w:val="none"/>
              </w:rPr>
            </w:pPr>
          </w:p>
        </w:tc>
        <w:tc>
          <w:tcPr>
            <w:vAlign w:val="center"/>
          </w:tcPr>
          <w:p w14:paraId="1A299C3B">
            <w:pPr>
              <w:jc w:val="center"/>
              <w:rPr>
                <w:rFonts w:hint="eastAsia" w:ascii="仿宋" w:hAnsi="仿宋" w:eastAsia="仿宋" w:cs="仿宋"/>
                <w:color w:val="auto"/>
                <w:highlight w:val="none"/>
              </w:rPr>
            </w:pPr>
          </w:p>
        </w:tc>
        <w:tc>
          <w:tcPr>
            <w:vAlign w:val="center"/>
          </w:tcPr>
          <w:p w14:paraId="1729ADD7">
            <w:pPr>
              <w:jc w:val="center"/>
              <w:rPr>
                <w:rFonts w:hint="eastAsia" w:ascii="仿宋" w:hAnsi="仿宋" w:eastAsia="仿宋" w:cs="仿宋"/>
                <w:color w:val="auto"/>
                <w:highlight w:val="none"/>
              </w:rPr>
            </w:pPr>
          </w:p>
        </w:tc>
        <w:tc>
          <w:tcPr>
            <w:vAlign w:val="center"/>
          </w:tcPr>
          <w:p w14:paraId="177DA120">
            <w:pPr>
              <w:jc w:val="center"/>
              <w:rPr>
                <w:rFonts w:hint="eastAsia" w:ascii="仿宋" w:hAnsi="仿宋" w:eastAsia="仿宋" w:cs="仿宋"/>
                <w:color w:val="auto"/>
                <w:highlight w:val="none"/>
              </w:rPr>
            </w:pPr>
          </w:p>
        </w:tc>
        <w:tc>
          <w:tcPr>
            <w:vAlign w:val="center"/>
          </w:tcPr>
          <w:p w14:paraId="77428D5D">
            <w:pPr>
              <w:jc w:val="center"/>
              <w:rPr>
                <w:rFonts w:hint="eastAsia" w:ascii="仿宋" w:hAnsi="仿宋" w:eastAsia="仿宋" w:cs="仿宋"/>
                <w:color w:val="auto"/>
                <w:highlight w:val="none"/>
              </w:rPr>
            </w:pPr>
          </w:p>
        </w:tc>
        <w:tc>
          <w:tcPr>
            <w:vAlign w:val="center"/>
          </w:tcPr>
          <w:p w14:paraId="0550B3FF">
            <w:pPr>
              <w:jc w:val="center"/>
              <w:rPr>
                <w:rFonts w:hint="eastAsia" w:ascii="仿宋" w:hAnsi="仿宋" w:eastAsia="仿宋" w:cs="仿宋"/>
                <w:color w:val="auto"/>
                <w:highlight w:val="none"/>
              </w:rPr>
            </w:pPr>
          </w:p>
        </w:tc>
        <w:tc>
          <w:tcPr>
            <w:vAlign w:val="center"/>
          </w:tcPr>
          <w:p w14:paraId="3C9894BE">
            <w:pPr>
              <w:jc w:val="center"/>
              <w:rPr>
                <w:rFonts w:hint="eastAsia" w:ascii="仿宋" w:hAnsi="仿宋" w:eastAsia="仿宋" w:cs="仿宋"/>
                <w:color w:val="auto"/>
                <w:highlight w:val="none"/>
              </w:rPr>
            </w:pPr>
          </w:p>
        </w:tc>
        <w:tc>
          <w:tcPr>
            <w:vAlign w:val="center"/>
          </w:tcPr>
          <w:p w14:paraId="1513192A">
            <w:pPr>
              <w:jc w:val="center"/>
              <w:rPr>
                <w:rFonts w:hint="eastAsia" w:ascii="仿宋" w:hAnsi="仿宋" w:eastAsia="仿宋" w:cs="仿宋"/>
                <w:color w:val="auto"/>
                <w:highlight w:val="none"/>
              </w:rPr>
            </w:pPr>
          </w:p>
        </w:tc>
        <w:tc>
          <w:tcPr>
            <w:vAlign w:val="center"/>
          </w:tcPr>
          <w:p w14:paraId="68286AF6">
            <w:pPr>
              <w:jc w:val="center"/>
              <w:rPr>
                <w:rFonts w:hint="eastAsia" w:ascii="仿宋" w:hAnsi="仿宋" w:eastAsia="仿宋" w:cs="仿宋"/>
                <w:color w:val="auto"/>
                <w:highlight w:val="none"/>
              </w:rPr>
            </w:pPr>
          </w:p>
        </w:tc>
        <w:tc>
          <w:tcPr>
            <w:vAlign w:val="center"/>
          </w:tcPr>
          <w:p w14:paraId="78022CB3">
            <w:pPr>
              <w:jc w:val="center"/>
              <w:rPr>
                <w:rFonts w:hint="eastAsia" w:ascii="仿宋" w:hAnsi="仿宋" w:eastAsia="仿宋" w:cs="仿宋"/>
                <w:color w:val="auto"/>
                <w:highlight w:val="none"/>
              </w:rPr>
            </w:pPr>
          </w:p>
        </w:tc>
      </w:tr>
      <w:tr w14:paraId="17BF22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043E71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20F8A9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收到其他投资</w:t>
            </w:r>
          </w:p>
        </w:tc>
        <w:tc>
          <w:tcPr>
            <w:vAlign w:val="center"/>
          </w:tcPr>
          <w:p w14:paraId="47E697E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4073D94E">
            <w:pPr>
              <w:jc w:val="center"/>
              <w:rPr>
                <w:rFonts w:hint="eastAsia" w:ascii="仿宋" w:hAnsi="仿宋" w:eastAsia="仿宋" w:cs="仿宋"/>
                <w:color w:val="auto"/>
                <w:highlight w:val="none"/>
              </w:rPr>
            </w:pPr>
          </w:p>
        </w:tc>
        <w:tc>
          <w:tcPr>
            <w:vAlign w:val="center"/>
          </w:tcPr>
          <w:p w14:paraId="129BC7FA">
            <w:pPr>
              <w:jc w:val="center"/>
              <w:rPr>
                <w:rFonts w:hint="eastAsia" w:ascii="仿宋" w:hAnsi="仿宋" w:eastAsia="仿宋" w:cs="仿宋"/>
                <w:color w:val="auto"/>
                <w:highlight w:val="none"/>
              </w:rPr>
            </w:pPr>
          </w:p>
        </w:tc>
        <w:tc>
          <w:tcPr>
            <w:vAlign w:val="center"/>
          </w:tcPr>
          <w:p w14:paraId="233D6817">
            <w:pPr>
              <w:jc w:val="center"/>
              <w:rPr>
                <w:rFonts w:hint="eastAsia" w:ascii="仿宋" w:hAnsi="仿宋" w:eastAsia="仿宋" w:cs="仿宋"/>
                <w:color w:val="auto"/>
                <w:highlight w:val="none"/>
              </w:rPr>
            </w:pPr>
          </w:p>
        </w:tc>
        <w:tc>
          <w:tcPr>
            <w:vAlign w:val="center"/>
          </w:tcPr>
          <w:p w14:paraId="07A0B09D">
            <w:pPr>
              <w:jc w:val="center"/>
              <w:rPr>
                <w:rFonts w:hint="eastAsia" w:ascii="仿宋" w:hAnsi="仿宋" w:eastAsia="仿宋" w:cs="仿宋"/>
                <w:color w:val="auto"/>
                <w:highlight w:val="none"/>
              </w:rPr>
            </w:pPr>
          </w:p>
        </w:tc>
        <w:tc>
          <w:tcPr>
            <w:vAlign w:val="center"/>
          </w:tcPr>
          <w:p w14:paraId="08243A61">
            <w:pPr>
              <w:jc w:val="center"/>
              <w:rPr>
                <w:rFonts w:hint="eastAsia" w:ascii="仿宋" w:hAnsi="仿宋" w:eastAsia="仿宋" w:cs="仿宋"/>
                <w:color w:val="auto"/>
                <w:highlight w:val="none"/>
              </w:rPr>
            </w:pPr>
          </w:p>
        </w:tc>
        <w:tc>
          <w:tcPr>
            <w:vAlign w:val="center"/>
          </w:tcPr>
          <w:p w14:paraId="5F21B673">
            <w:pPr>
              <w:jc w:val="center"/>
              <w:rPr>
                <w:rFonts w:hint="eastAsia" w:ascii="仿宋" w:hAnsi="仿宋" w:eastAsia="仿宋" w:cs="仿宋"/>
                <w:color w:val="auto"/>
                <w:highlight w:val="none"/>
              </w:rPr>
            </w:pPr>
          </w:p>
        </w:tc>
        <w:tc>
          <w:tcPr>
            <w:vAlign w:val="center"/>
          </w:tcPr>
          <w:p w14:paraId="53F56A9B">
            <w:pPr>
              <w:jc w:val="center"/>
              <w:rPr>
                <w:rFonts w:hint="eastAsia" w:ascii="仿宋" w:hAnsi="仿宋" w:eastAsia="仿宋" w:cs="仿宋"/>
                <w:color w:val="auto"/>
                <w:highlight w:val="none"/>
              </w:rPr>
            </w:pPr>
          </w:p>
        </w:tc>
        <w:tc>
          <w:tcPr>
            <w:vAlign w:val="center"/>
          </w:tcPr>
          <w:p w14:paraId="40C3FB11">
            <w:pPr>
              <w:jc w:val="center"/>
              <w:rPr>
                <w:rFonts w:hint="eastAsia" w:ascii="仿宋" w:hAnsi="仿宋" w:eastAsia="仿宋" w:cs="仿宋"/>
                <w:color w:val="auto"/>
                <w:highlight w:val="none"/>
              </w:rPr>
            </w:pPr>
          </w:p>
        </w:tc>
        <w:tc>
          <w:tcPr>
            <w:vAlign w:val="center"/>
          </w:tcPr>
          <w:p w14:paraId="2CD1396B">
            <w:pPr>
              <w:jc w:val="center"/>
              <w:rPr>
                <w:rFonts w:hint="eastAsia" w:ascii="仿宋" w:hAnsi="仿宋" w:eastAsia="仿宋" w:cs="仿宋"/>
                <w:color w:val="auto"/>
                <w:highlight w:val="none"/>
              </w:rPr>
            </w:pPr>
          </w:p>
        </w:tc>
        <w:tc>
          <w:tcPr>
            <w:vAlign w:val="center"/>
          </w:tcPr>
          <w:p w14:paraId="5E893ABC">
            <w:pPr>
              <w:jc w:val="center"/>
              <w:rPr>
                <w:rFonts w:hint="eastAsia" w:ascii="仿宋" w:hAnsi="仿宋" w:eastAsia="仿宋" w:cs="仿宋"/>
                <w:color w:val="auto"/>
                <w:highlight w:val="none"/>
              </w:rPr>
            </w:pPr>
          </w:p>
        </w:tc>
      </w:tr>
      <w:tr w14:paraId="6931B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BC296B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763C543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63D733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13D2A072">
            <w:pPr>
              <w:jc w:val="center"/>
              <w:rPr>
                <w:rFonts w:hint="eastAsia" w:ascii="仿宋" w:hAnsi="仿宋" w:eastAsia="仿宋" w:cs="仿宋"/>
                <w:color w:val="auto"/>
                <w:highlight w:val="none"/>
              </w:rPr>
            </w:pPr>
          </w:p>
        </w:tc>
        <w:tc>
          <w:tcPr>
            <w:vAlign w:val="center"/>
          </w:tcPr>
          <w:p w14:paraId="5BDABB46">
            <w:pPr>
              <w:jc w:val="center"/>
              <w:rPr>
                <w:rFonts w:hint="eastAsia" w:ascii="仿宋" w:hAnsi="仿宋" w:eastAsia="仿宋" w:cs="仿宋"/>
                <w:color w:val="auto"/>
                <w:highlight w:val="none"/>
              </w:rPr>
            </w:pPr>
          </w:p>
        </w:tc>
        <w:tc>
          <w:tcPr>
            <w:vAlign w:val="center"/>
          </w:tcPr>
          <w:p w14:paraId="7E9A44A9">
            <w:pPr>
              <w:jc w:val="center"/>
              <w:rPr>
                <w:rFonts w:hint="eastAsia" w:ascii="仿宋" w:hAnsi="仿宋" w:eastAsia="仿宋" w:cs="仿宋"/>
                <w:color w:val="auto"/>
                <w:highlight w:val="none"/>
              </w:rPr>
            </w:pPr>
          </w:p>
        </w:tc>
        <w:tc>
          <w:tcPr>
            <w:vAlign w:val="center"/>
          </w:tcPr>
          <w:p w14:paraId="027F4DDB">
            <w:pPr>
              <w:jc w:val="center"/>
              <w:rPr>
                <w:rFonts w:hint="eastAsia" w:ascii="仿宋" w:hAnsi="仿宋" w:eastAsia="仿宋" w:cs="仿宋"/>
                <w:color w:val="auto"/>
                <w:highlight w:val="none"/>
              </w:rPr>
            </w:pPr>
          </w:p>
        </w:tc>
        <w:tc>
          <w:tcPr>
            <w:vAlign w:val="center"/>
          </w:tcPr>
          <w:p w14:paraId="35749164">
            <w:pPr>
              <w:jc w:val="center"/>
              <w:rPr>
                <w:rFonts w:hint="eastAsia" w:ascii="仿宋" w:hAnsi="仿宋" w:eastAsia="仿宋" w:cs="仿宋"/>
                <w:color w:val="auto"/>
                <w:highlight w:val="none"/>
              </w:rPr>
            </w:pPr>
          </w:p>
        </w:tc>
        <w:tc>
          <w:tcPr>
            <w:vAlign w:val="center"/>
          </w:tcPr>
          <w:p w14:paraId="54732109">
            <w:pPr>
              <w:jc w:val="center"/>
              <w:rPr>
                <w:rFonts w:hint="eastAsia" w:ascii="仿宋" w:hAnsi="仿宋" w:eastAsia="仿宋" w:cs="仿宋"/>
                <w:color w:val="auto"/>
                <w:highlight w:val="none"/>
              </w:rPr>
            </w:pPr>
          </w:p>
        </w:tc>
        <w:tc>
          <w:tcPr>
            <w:vAlign w:val="center"/>
          </w:tcPr>
          <w:p w14:paraId="5D055A24">
            <w:pPr>
              <w:jc w:val="center"/>
              <w:rPr>
                <w:rFonts w:hint="eastAsia" w:ascii="仿宋" w:hAnsi="仿宋" w:eastAsia="仿宋" w:cs="仿宋"/>
                <w:color w:val="auto"/>
                <w:highlight w:val="none"/>
              </w:rPr>
            </w:pPr>
          </w:p>
        </w:tc>
        <w:tc>
          <w:tcPr>
            <w:vAlign w:val="center"/>
          </w:tcPr>
          <w:p w14:paraId="2A099D32">
            <w:pPr>
              <w:jc w:val="center"/>
              <w:rPr>
                <w:rFonts w:hint="eastAsia" w:ascii="仿宋" w:hAnsi="仿宋" w:eastAsia="仿宋" w:cs="仿宋"/>
                <w:color w:val="auto"/>
                <w:highlight w:val="none"/>
              </w:rPr>
            </w:pPr>
          </w:p>
        </w:tc>
        <w:tc>
          <w:tcPr>
            <w:vAlign w:val="center"/>
          </w:tcPr>
          <w:p w14:paraId="6F096F18">
            <w:pPr>
              <w:jc w:val="center"/>
              <w:rPr>
                <w:rFonts w:hint="eastAsia" w:ascii="仿宋" w:hAnsi="仿宋" w:eastAsia="仿宋" w:cs="仿宋"/>
                <w:color w:val="auto"/>
                <w:highlight w:val="none"/>
              </w:rPr>
            </w:pPr>
          </w:p>
        </w:tc>
        <w:tc>
          <w:tcPr>
            <w:vAlign w:val="center"/>
          </w:tcPr>
          <w:p w14:paraId="059A6FC3">
            <w:pPr>
              <w:jc w:val="center"/>
              <w:rPr>
                <w:rFonts w:hint="eastAsia" w:ascii="仿宋" w:hAnsi="仿宋" w:eastAsia="仿宋" w:cs="仿宋"/>
                <w:color w:val="auto"/>
                <w:highlight w:val="none"/>
              </w:rPr>
            </w:pPr>
          </w:p>
        </w:tc>
      </w:tr>
      <w:tr w14:paraId="7F7D4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979B8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32D587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建设投资</w:t>
            </w:r>
          </w:p>
        </w:tc>
        <w:tc>
          <w:tcPr>
            <w:vAlign w:val="center"/>
          </w:tcPr>
          <w:p w14:paraId="6C8C0B8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4BFDBA19">
            <w:pPr>
              <w:jc w:val="center"/>
              <w:rPr>
                <w:rFonts w:hint="eastAsia" w:ascii="仿宋" w:hAnsi="仿宋" w:eastAsia="仿宋" w:cs="仿宋"/>
                <w:color w:val="auto"/>
                <w:highlight w:val="none"/>
              </w:rPr>
            </w:pPr>
          </w:p>
        </w:tc>
        <w:tc>
          <w:tcPr>
            <w:vAlign w:val="center"/>
          </w:tcPr>
          <w:p w14:paraId="5D1CC59F">
            <w:pPr>
              <w:jc w:val="center"/>
              <w:rPr>
                <w:rFonts w:hint="eastAsia" w:ascii="仿宋" w:hAnsi="仿宋" w:eastAsia="仿宋" w:cs="仿宋"/>
                <w:color w:val="auto"/>
                <w:highlight w:val="none"/>
              </w:rPr>
            </w:pPr>
          </w:p>
        </w:tc>
        <w:tc>
          <w:tcPr>
            <w:vAlign w:val="center"/>
          </w:tcPr>
          <w:p w14:paraId="499917F7">
            <w:pPr>
              <w:jc w:val="center"/>
              <w:rPr>
                <w:rFonts w:hint="eastAsia" w:ascii="仿宋" w:hAnsi="仿宋" w:eastAsia="仿宋" w:cs="仿宋"/>
                <w:color w:val="auto"/>
                <w:highlight w:val="none"/>
              </w:rPr>
            </w:pPr>
          </w:p>
        </w:tc>
        <w:tc>
          <w:tcPr>
            <w:vAlign w:val="center"/>
          </w:tcPr>
          <w:p w14:paraId="66A6A8DA">
            <w:pPr>
              <w:jc w:val="center"/>
              <w:rPr>
                <w:rFonts w:hint="eastAsia" w:ascii="仿宋" w:hAnsi="仿宋" w:eastAsia="仿宋" w:cs="仿宋"/>
                <w:color w:val="auto"/>
                <w:highlight w:val="none"/>
              </w:rPr>
            </w:pPr>
          </w:p>
        </w:tc>
        <w:tc>
          <w:tcPr>
            <w:vAlign w:val="center"/>
          </w:tcPr>
          <w:p w14:paraId="140E661C">
            <w:pPr>
              <w:jc w:val="center"/>
              <w:rPr>
                <w:rFonts w:hint="eastAsia" w:ascii="仿宋" w:hAnsi="仿宋" w:eastAsia="仿宋" w:cs="仿宋"/>
                <w:color w:val="auto"/>
                <w:highlight w:val="none"/>
              </w:rPr>
            </w:pPr>
          </w:p>
        </w:tc>
        <w:tc>
          <w:tcPr>
            <w:vAlign w:val="center"/>
          </w:tcPr>
          <w:p w14:paraId="19134864">
            <w:pPr>
              <w:jc w:val="center"/>
              <w:rPr>
                <w:rFonts w:hint="eastAsia" w:ascii="仿宋" w:hAnsi="仿宋" w:eastAsia="仿宋" w:cs="仿宋"/>
                <w:color w:val="auto"/>
                <w:highlight w:val="none"/>
              </w:rPr>
            </w:pPr>
          </w:p>
        </w:tc>
        <w:tc>
          <w:tcPr>
            <w:vAlign w:val="center"/>
          </w:tcPr>
          <w:p w14:paraId="6F019AF8">
            <w:pPr>
              <w:jc w:val="center"/>
              <w:rPr>
                <w:rFonts w:hint="eastAsia" w:ascii="仿宋" w:hAnsi="仿宋" w:eastAsia="仿宋" w:cs="仿宋"/>
                <w:color w:val="auto"/>
                <w:highlight w:val="none"/>
              </w:rPr>
            </w:pPr>
          </w:p>
        </w:tc>
        <w:tc>
          <w:tcPr>
            <w:vAlign w:val="center"/>
          </w:tcPr>
          <w:p w14:paraId="6E91B3B2">
            <w:pPr>
              <w:jc w:val="center"/>
              <w:rPr>
                <w:rFonts w:hint="eastAsia" w:ascii="仿宋" w:hAnsi="仿宋" w:eastAsia="仿宋" w:cs="仿宋"/>
                <w:color w:val="auto"/>
                <w:highlight w:val="none"/>
              </w:rPr>
            </w:pPr>
          </w:p>
        </w:tc>
        <w:tc>
          <w:tcPr>
            <w:vAlign w:val="center"/>
          </w:tcPr>
          <w:p w14:paraId="7AC59607">
            <w:pPr>
              <w:jc w:val="center"/>
              <w:rPr>
                <w:rFonts w:hint="eastAsia" w:ascii="仿宋" w:hAnsi="仿宋" w:eastAsia="仿宋" w:cs="仿宋"/>
                <w:color w:val="auto"/>
                <w:highlight w:val="none"/>
              </w:rPr>
            </w:pPr>
          </w:p>
        </w:tc>
        <w:tc>
          <w:tcPr>
            <w:vAlign w:val="center"/>
          </w:tcPr>
          <w:p w14:paraId="13753321">
            <w:pPr>
              <w:jc w:val="center"/>
              <w:rPr>
                <w:rFonts w:hint="eastAsia" w:ascii="仿宋" w:hAnsi="仿宋" w:eastAsia="仿宋" w:cs="仿宋"/>
                <w:color w:val="auto"/>
                <w:highlight w:val="none"/>
              </w:rPr>
            </w:pPr>
          </w:p>
        </w:tc>
      </w:tr>
      <w:tr w14:paraId="5EDE18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25B850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056C44C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维持运营投资</w:t>
            </w:r>
          </w:p>
        </w:tc>
        <w:tc>
          <w:tcPr>
            <w:vAlign w:val="center"/>
          </w:tcPr>
          <w:p w14:paraId="032B16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7871181C">
            <w:pPr>
              <w:jc w:val="center"/>
              <w:rPr>
                <w:rFonts w:hint="eastAsia" w:ascii="仿宋" w:hAnsi="仿宋" w:eastAsia="仿宋" w:cs="仿宋"/>
                <w:color w:val="auto"/>
                <w:highlight w:val="none"/>
              </w:rPr>
            </w:pPr>
          </w:p>
        </w:tc>
        <w:tc>
          <w:tcPr>
            <w:vAlign w:val="center"/>
          </w:tcPr>
          <w:p w14:paraId="45AC9B5B">
            <w:pPr>
              <w:jc w:val="center"/>
              <w:rPr>
                <w:rFonts w:hint="eastAsia" w:ascii="仿宋" w:hAnsi="仿宋" w:eastAsia="仿宋" w:cs="仿宋"/>
                <w:color w:val="auto"/>
                <w:highlight w:val="none"/>
              </w:rPr>
            </w:pPr>
          </w:p>
        </w:tc>
        <w:tc>
          <w:tcPr>
            <w:vAlign w:val="center"/>
          </w:tcPr>
          <w:p w14:paraId="6B516332">
            <w:pPr>
              <w:jc w:val="center"/>
              <w:rPr>
                <w:rFonts w:hint="eastAsia" w:ascii="仿宋" w:hAnsi="仿宋" w:eastAsia="仿宋" w:cs="仿宋"/>
                <w:color w:val="auto"/>
                <w:highlight w:val="none"/>
              </w:rPr>
            </w:pPr>
          </w:p>
        </w:tc>
        <w:tc>
          <w:tcPr>
            <w:vAlign w:val="center"/>
          </w:tcPr>
          <w:p w14:paraId="02FECCF2">
            <w:pPr>
              <w:jc w:val="center"/>
              <w:rPr>
                <w:rFonts w:hint="eastAsia" w:ascii="仿宋" w:hAnsi="仿宋" w:eastAsia="仿宋" w:cs="仿宋"/>
                <w:color w:val="auto"/>
                <w:highlight w:val="none"/>
              </w:rPr>
            </w:pPr>
          </w:p>
        </w:tc>
        <w:tc>
          <w:tcPr>
            <w:vAlign w:val="center"/>
          </w:tcPr>
          <w:p w14:paraId="1A5AD47F">
            <w:pPr>
              <w:jc w:val="center"/>
              <w:rPr>
                <w:rFonts w:hint="eastAsia" w:ascii="仿宋" w:hAnsi="仿宋" w:eastAsia="仿宋" w:cs="仿宋"/>
                <w:color w:val="auto"/>
                <w:highlight w:val="none"/>
              </w:rPr>
            </w:pPr>
          </w:p>
        </w:tc>
        <w:tc>
          <w:tcPr>
            <w:vAlign w:val="center"/>
          </w:tcPr>
          <w:p w14:paraId="01E54B51">
            <w:pPr>
              <w:jc w:val="center"/>
              <w:rPr>
                <w:rFonts w:hint="eastAsia" w:ascii="仿宋" w:hAnsi="仿宋" w:eastAsia="仿宋" w:cs="仿宋"/>
                <w:color w:val="auto"/>
                <w:highlight w:val="none"/>
              </w:rPr>
            </w:pPr>
          </w:p>
        </w:tc>
        <w:tc>
          <w:tcPr>
            <w:vAlign w:val="center"/>
          </w:tcPr>
          <w:p w14:paraId="03ACAA1C">
            <w:pPr>
              <w:jc w:val="center"/>
              <w:rPr>
                <w:rFonts w:hint="eastAsia" w:ascii="仿宋" w:hAnsi="仿宋" w:eastAsia="仿宋" w:cs="仿宋"/>
                <w:color w:val="auto"/>
                <w:highlight w:val="none"/>
              </w:rPr>
            </w:pPr>
          </w:p>
        </w:tc>
        <w:tc>
          <w:tcPr>
            <w:vAlign w:val="center"/>
          </w:tcPr>
          <w:p w14:paraId="50275908">
            <w:pPr>
              <w:jc w:val="center"/>
              <w:rPr>
                <w:rFonts w:hint="eastAsia" w:ascii="仿宋" w:hAnsi="仿宋" w:eastAsia="仿宋" w:cs="仿宋"/>
                <w:color w:val="auto"/>
                <w:highlight w:val="none"/>
              </w:rPr>
            </w:pPr>
          </w:p>
        </w:tc>
        <w:tc>
          <w:tcPr>
            <w:vAlign w:val="center"/>
          </w:tcPr>
          <w:p w14:paraId="35296AA0">
            <w:pPr>
              <w:jc w:val="center"/>
              <w:rPr>
                <w:rFonts w:hint="eastAsia" w:ascii="仿宋" w:hAnsi="仿宋" w:eastAsia="仿宋" w:cs="仿宋"/>
                <w:color w:val="auto"/>
                <w:highlight w:val="none"/>
              </w:rPr>
            </w:pPr>
          </w:p>
        </w:tc>
        <w:tc>
          <w:tcPr>
            <w:vAlign w:val="center"/>
          </w:tcPr>
          <w:p w14:paraId="5B3381DE">
            <w:pPr>
              <w:jc w:val="center"/>
              <w:rPr>
                <w:rFonts w:hint="eastAsia" w:ascii="仿宋" w:hAnsi="仿宋" w:eastAsia="仿宋" w:cs="仿宋"/>
                <w:color w:val="auto"/>
                <w:highlight w:val="none"/>
              </w:rPr>
            </w:pPr>
          </w:p>
        </w:tc>
      </w:tr>
      <w:tr w14:paraId="04F0D7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624BE0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三</w:t>
            </w:r>
          </w:p>
        </w:tc>
        <w:tc>
          <w:tcPr>
            <w:vAlign w:val="center"/>
          </w:tcPr>
          <w:p w14:paraId="0718B9F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筹措活动净现金流量</w:t>
            </w:r>
          </w:p>
        </w:tc>
        <w:tc>
          <w:tcPr>
            <w:vAlign w:val="center"/>
          </w:tcPr>
          <w:p w14:paraId="63F1C7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-3591.00 </w:t>
            </w:r>
          </w:p>
        </w:tc>
        <w:tc>
          <w:tcPr>
            <w:vAlign w:val="center"/>
          </w:tcPr>
          <w:p w14:paraId="2459DA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A250A3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044C1E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08B65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5131A6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AC444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FA3355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B991C7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4D37B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5FA657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r>
      <w:tr w14:paraId="4F954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B456B9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6EC6E0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4E4B70A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16000.00 </w:t>
            </w:r>
          </w:p>
        </w:tc>
        <w:tc>
          <w:tcPr>
            <w:vAlign w:val="center"/>
          </w:tcPr>
          <w:p w14:paraId="22EB4A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C3DC70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4EC7E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B2E835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F193F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D0C02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7F55C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ADDAB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2A7A0A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A32D5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3AF11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B8ABF8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7C4085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项目资本金投入</w:t>
            </w:r>
          </w:p>
        </w:tc>
        <w:tc>
          <w:tcPr>
            <w:vAlign w:val="center"/>
          </w:tcPr>
          <w:p w14:paraId="3EDD8F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5000.00 </w:t>
            </w:r>
          </w:p>
        </w:tc>
        <w:tc>
          <w:tcPr>
            <w:vAlign w:val="center"/>
          </w:tcPr>
          <w:p w14:paraId="4D6B0B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B1CEE1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85335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7CA1BD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0A35C2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CE1501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FDA5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A1DD36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29C415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F5BCCA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F460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14B98B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3378BF3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专项债券资金</w:t>
            </w:r>
          </w:p>
        </w:tc>
        <w:tc>
          <w:tcPr>
            <w:vAlign w:val="center"/>
          </w:tcPr>
          <w:p w14:paraId="446CA96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11000.00 </w:t>
            </w:r>
          </w:p>
        </w:tc>
        <w:tc>
          <w:tcPr>
            <w:vAlign w:val="center"/>
          </w:tcPr>
          <w:p w14:paraId="6F54B5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E4B80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6F0C69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2F9CB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C68CCD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CFF634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FD086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BF9791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76053E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9D8A2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7E1AB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6E2678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560595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2635A23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19591.00 </w:t>
            </w:r>
          </w:p>
        </w:tc>
        <w:tc>
          <w:tcPr>
            <w:vAlign w:val="center"/>
          </w:tcPr>
          <w:p w14:paraId="711411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19D54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2F9E1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43D5FA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1AC6B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683E5C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11798F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19398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7E2C541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E0D25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r>
      <w:tr w14:paraId="2A53D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BBC81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71AAA2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支付债券利息</w:t>
            </w:r>
          </w:p>
        </w:tc>
        <w:tc>
          <w:tcPr>
            <w:vAlign w:val="center"/>
          </w:tcPr>
          <w:p w14:paraId="75D5FDA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8580.00 </w:t>
            </w:r>
          </w:p>
        </w:tc>
        <w:tc>
          <w:tcPr>
            <w:vAlign w:val="center"/>
          </w:tcPr>
          <w:p w14:paraId="06FD47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BA1D9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8897BD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77137D6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740A3A1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033D20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7DE7A4C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E96A7E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43725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749274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r>
      <w:tr w14:paraId="2CC3D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A96EB9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3E4DD47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支付债券发行费用</w:t>
            </w:r>
          </w:p>
        </w:tc>
        <w:tc>
          <w:tcPr>
            <w:vAlign w:val="center"/>
          </w:tcPr>
          <w:p w14:paraId="6E0388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 </w:t>
            </w:r>
          </w:p>
        </w:tc>
        <w:tc>
          <w:tcPr>
            <w:vAlign w:val="center"/>
          </w:tcPr>
          <w:p w14:paraId="161ED36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BE7E18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591A32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433D7E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D903B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7B9BEC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62FB69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AC267A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A5C4F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BA1B5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571AE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531BCB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w:t>
            </w:r>
          </w:p>
        </w:tc>
        <w:tc>
          <w:tcPr>
            <w:vAlign w:val="center"/>
          </w:tcPr>
          <w:p w14:paraId="5091013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支付专项债券本金</w:t>
            </w:r>
          </w:p>
        </w:tc>
        <w:tc>
          <w:tcPr>
            <w:vAlign w:val="center"/>
          </w:tcPr>
          <w:p w14:paraId="6D1F95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11000.00 </w:t>
            </w:r>
          </w:p>
        </w:tc>
        <w:tc>
          <w:tcPr>
            <w:vAlign w:val="center"/>
          </w:tcPr>
          <w:p w14:paraId="6DA7C8B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1273F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60839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F4EAD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73244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760DA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CF7CA7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631071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B3080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56CEF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FDBD4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0CDC0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四</w:t>
            </w:r>
          </w:p>
        </w:tc>
        <w:tc>
          <w:tcPr>
            <w:vAlign w:val="center"/>
          </w:tcPr>
          <w:p w14:paraId="219D44B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现金流量总计</w:t>
            </w:r>
          </w:p>
        </w:tc>
        <w:tc>
          <w:tcPr>
            <w:vAlign w:val="center"/>
          </w:tcPr>
          <w:p w14:paraId="5D06B9F1">
            <w:pPr>
              <w:jc w:val="center"/>
              <w:rPr>
                <w:rFonts w:hint="eastAsia" w:ascii="仿宋" w:hAnsi="仿宋" w:eastAsia="仿宋" w:cs="仿宋"/>
                <w:color w:val="auto"/>
                <w:highlight w:val="none"/>
              </w:rPr>
            </w:pPr>
          </w:p>
        </w:tc>
        <w:tc>
          <w:tcPr>
            <w:vAlign w:val="center"/>
          </w:tcPr>
          <w:p w14:paraId="3972A558">
            <w:pPr>
              <w:jc w:val="center"/>
              <w:rPr>
                <w:rFonts w:hint="eastAsia" w:ascii="仿宋" w:hAnsi="仿宋" w:eastAsia="仿宋" w:cs="仿宋"/>
                <w:color w:val="auto"/>
                <w:highlight w:val="none"/>
              </w:rPr>
            </w:pPr>
          </w:p>
        </w:tc>
        <w:tc>
          <w:tcPr>
            <w:vAlign w:val="center"/>
          </w:tcPr>
          <w:p w14:paraId="24AF410C">
            <w:pPr>
              <w:jc w:val="center"/>
              <w:rPr>
                <w:rFonts w:hint="eastAsia" w:ascii="仿宋" w:hAnsi="仿宋" w:eastAsia="仿宋" w:cs="仿宋"/>
                <w:color w:val="auto"/>
                <w:highlight w:val="none"/>
              </w:rPr>
            </w:pPr>
          </w:p>
        </w:tc>
        <w:tc>
          <w:tcPr>
            <w:vAlign w:val="center"/>
          </w:tcPr>
          <w:p w14:paraId="31E12AC4">
            <w:pPr>
              <w:jc w:val="center"/>
              <w:rPr>
                <w:rFonts w:hint="eastAsia" w:ascii="仿宋" w:hAnsi="仿宋" w:eastAsia="仿宋" w:cs="仿宋"/>
                <w:color w:val="auto"/>
                <w:highlight w:val="none"/>
              </w:rPr>
            </w:pPr>
          </w:p>
        </w:tc>
        <w:tc>
          <w:tcPr>
            <w:vAlign w:val="center"/>
          </w:tcPr>
          <w:p w14:paraId="143E05A8">
            <w:pPr>
              <w:jc w:val="center"/>
              <w:rPr>
                <w:rFonts w:hint="eastAsia" w:ascii="仿宋" w:hAnsi="仿宋" w:eastAsia="仿宋" w:cs="仿宋"/>
                <w:color w:val="auto"/>
                <w:highlight w:val="none"/>
              </w:rPr>
            </w:pPr>
          </w:p>
        </w:tc>
        <w:tc>
          <w:tcPr>
            <w:vAlign w:val="center"/>
          </w:tcPr>
          <w:p w14:paraId="53CDBD8F">
            <w:pPr>
              <w:jc w:val="center"/>
              <w:rPr>
                <w:rFonts w:hint="eastAsia" w:ascii="仿宋" w:hAnsi="仿宋" w:eastAsia="仿宋" w:cs="仿宋"/>
                <w:color w:val="auto"/>
                <w:highlight w:val="none"/>
              </w:rPr>
            </w:pPr>
          </w:p>
        </w:tc>
        <w:tc>
          <w:tcPr>
            <w:vAlign w:val="center"/>
          </w:tcPr>
          <w:p w14:paraId="2DBDC351">
            <w:pPr>
              <w:jc w:val="center"/>
              <w:rPr>
                <w:rFonts w:hint="eastAsia" w:ascii="仿宋" w:hAnsi="仿宋" w:eastAsia="仿宋" w:cs="仿宋"/>
                <w:color w:val="auto"/>
                <w:highlight w:val="none"/>
              </w:rPr>
            </w:pPr>
          </w:p>
        </w:tc>
        <w:tc>
          <w:tcPr>
            <w:vAlign w:val="center"/>
          </w:tcPr>
          <w:p w14:paraId="5D55FDF9">
            <w:pPr>
              <w:jc w:val="center"/>
              <w:rPr>
                <w:rFonts w:hint="eastAsia" w:ascii="仿宋" w:hAnsi="仿宋" w:eastAsia="仿宋" w:cs="仿宋"/>
                <w:color w:val="auto"/>
                <w:highlight w:val="none"/>
              </w:rPr>
            </w:pPr>
          </w:p>
        </w:tc>
        <w:tc>
          <w:tcPr>
            <w:vAlign w:val="center"/>
          </w:tcPr>
          <w:p w14:paraId="7071BCAA">
            <w:pPr>
              <w:jc w:val="center"/>
              <w:rPr>
                <w:rFonts w:hint="eastAsia" w:ascii="仿宋" w:hAnsi="仿宋" w:eastAsia="仿宋" w:cs="仿宋"/>
                <w:color w:val="auto"/>
                <w:highlight w:val="none"/>
              </w:rPr>
            </w:pPr>
          </w:p>
        </w:tc>
        <w:tc>
          <w:tcPr>
            <w:vAlign w:val="center"/>
          </w:tcPr>
          <w:p w14:paraId="52D7AFAA">
            <w:pPr>
              <w:jc w:val="center"/>
              <w:rPr>
                <w:rFonts w:hint="eastAsia" w:ascii="仿宋" w:hAnsi="仿宋" w:eastAsia="仿宋" w:cs="仿宋"/>
                <w:color w:val="auto"/>
                <w:highlight w:val="none"/>
              </w:rPr>
            </w:pPr>
          </w:p>
        </w:tc>
        <w:tc>
          <w:tcPr>
            <w:vAlign w:val="center"/>
          </w:tcPr>
          <w:p w14:paraId="52882C5E">
            <w:pPr>
              <w:jc w:val="center"/>
              <w:rPr>
                <w:rFonts w:hint="eastAsia" w:ascii="仿宋" w:hAnsi="仿宋" w:eastAsia="仿宋" w:cs="仿宋"/>
                <w:color w:val="auto"/>
                <w:highlight w:val="none"/>
              </w:rPr>
            </w:pPr>
          </w:p>
        </w:tc>
      </w:tr>
      <w:tr w14:paraId="420BC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76DFAA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55F4E20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项目期的期初资金</w:t>
            </w:r>
          </w:p>
        </w:tc>
        <w:tc>
          <w:tcPr>
            <w:vAlign w:val="center"/>
          </w:tcPr>
          <w:p w14:paraId="6C3C64C3">
            <w:pPr>
              <w:jc w:val="center"/>
              <w:rPr>
                <w:rFonts w:hint="eastAsia" w:ascii="仿宋" w:hAnsi="仿宋" w:eastAsia="仿宋" w:cs="仿宋"/>
                <w:color w:val="auto"/>
                <w:highlight w:val="none"/>
              </w:rPr>
            </w:pPr>
          </w:p>
        </w:tc>
        <w:tc>
          <w:tcPr>
            <w:vAlign w:val="center"/>
          </w:tcPr>
          <w:p w14:paraId="145759A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3740.87</w:t>
            </w:r>
          </w:p>
        </w:tc>
        <w:tc>
          <w:tcPr>
            <w:vAlign w:val="center"/>
          </w:tcPr>
          <w:p w14:paraId="10A68B9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4228.33</w:t>
            </w:r>
          </w:p>
        </w:tc>
        <w:tc>
          <w:tcPr>
            <w:vAlign w:val="center"/>
          </w:tcPr>
          <w:p w14:paraId="0B2214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4715.79</w:t>
            </w:r>
          </w:p>
        </w:tc>
        <w:tc>
          <w:tcPr>
            <w:vAlign w:val="center"/>
          </w:tcPr>
          <w:p w14:paraId="2F740A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5203.25</w:t>
            </w:r>
          </w:p>
        </w:tc>
        <w:tc>
          <w:tcPr>
            <w:vAlign w:val="center"/>
          </w:tcPr>
          <w:p w14:paraId="781B28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5714.35</w:t>
            </w:r>
          </w:p>
        </w:tc>
        <w:tc>
          <w:tcPr>
            <w:vAlign w:val="center"/>
          </w:tcPr>
          <w:p w14:paraId="7AFCCB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6225.45</w:t>
            </w:r>
          </w:p>
        </w:tc>
        <w:tc>
          <w:tcPr>
            <w:vAlign w:val="center"/>
          </w:tcPr>
          <w:p w14:paraId="35D76FC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6736.55</w:t>
            </w:r>
          </w:p>
        </w:tc>
        <w:tc>
          <w:tcPr>
            <w:vAlign w:val="center"/>
          </w:tcPr>
          <w:p w14:paraId="0507DF5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7217.11</w:t>
            </w:r>
          </w:p>
        </w:tc>
        <w:tc>
          <w:tcPr>
            <w:vAlign w:val="center"/>
          </w:tcPr>
          <w:p w14:paraId="13B16CD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7673.95</w:t>
            </w:r>
          </w:p>
        </w:tc>
        <w:tc>
          <w:tcPr>
            <w:vAlign w:val="center"/>
          </w:tcPr>
          <w:p w14:paraId="18848A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8130.79</w:t>
            </w:r>
          </w:p>
        </w:tc>
      </w:tr>
      <w:tr w14:paraId="05C37E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96DB81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0FFE15C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项目期内现金变动（一+二+三）</w:t>
            </w:r>
          </w:p>
        </w:tc>
        <w:tc>
          <w:tcPr>
            <w:vAlign w:val="center"/>
          </w:tcPr>
          <w:p w14:paraId="63F11E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2865.57 </w:t>
            </w:r>
          </w:p>
        </w:tc>
        <w:tc>
          <w:tcPr>
            <w:vAlign w:val="center"/>
          </w:tcPr>
          <w:p w14:paraId="6CEC2D5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487.46</w:t>
            </w:r>
          </w:p>
        </w:tc>
        <w:tc>
          <w:tcPr>
            <w:vAlign w:val="center"/>
          </w:tcPr>
          <w:p w14:paraId="4319A0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487.46</w:t>
            </w:r>
          </w:p>
        </w:tc>
        <w:tc>
          <w:tcPr>
            <w:vAlign w:val="center"/>
          </w:tcPr>
          <w:p w14:paraId="42E663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487.46</w:t>
            </w:r>
          </w:p>
        </w:tc>
        <w:tc>
          <w:tcPr>
            <w:vAlign w:val="center"/>
          </w:tcPr>
          <w:p w14:paraId="16C1F3E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511.10</w:t>
            </w:r>
          </w:p>
        </w:tc>
        <w:tc>
          <w:tcPr>
            <w:vAlign w:val="center"/>
          </w:tcPr>
          <w:p w14:paraId="41208BE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511.10</w:t>
            </w:r>
          </w:p>
        </w:tc>
        <w:tc>
          <w:tcPr>
            <w:vAlign w:val="center"/>
          </w:tcPr>
          <w:p w14:paraId="2886ADD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511.10</w:t>
            </w:r>
          </w:p>
        </w:tc>
        <w:tc>
          <w:tcPr>
            <w:vAlign w:val="center"/>
          </w:tcPr>
          <w:p w14:paraId="778BCA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480.56</w:t>
            </w:r>
          </w:p>
        </w:tc>
        <w:tc>
          <w:tcPr>
            <w:vAlign w:val="center"/>
          </w:tcPr>
          <w:p w14:paraId="430617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456.84</w:t>
            </w:r>
          </w:p>
        </w:tc>
        <w:tc>
          <w:tcPr>
            <w:vAlign w:val="center"/>
          </w:tcPr>
          <w:p w14:paraId="580C51B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456.84</w:t>
            </w:r>
          </w:p>
        </w:tc>
        <w:tc>
          <w:tcPr>
            <w:vAlign w:val="center"/>
          </w:tcPr>
          <w:p w14:paraId="487BE8E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479.17</w:t>
            </w:r>
          </w:p>
        </w:tc>
      </w:tr>
      <w:tr w14:paraId="64EC7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FFBCB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w:t>
            </w:r>
          </w:p>
        </w:tc>
        <w:tc>
          <w:tcPr>
            <w:vAlign w:val="center"/>
          </w:tcPr>
          <w:p w14:paraId="0EF864D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项目期的期末资金</w:t>
            </w:r>
          </w:p>
        </w:tc>
        <w:tc>
          <w:tcPr>
            <w:vAlign w:val="center"/>
          </w:tcPr>
          <w:p w14:paraId="70BF1D1C">
            <w:pPr>
              <w:jc w:val="center"/>
              <w:rPr>
                <w:rFonts w:hint="eastAsia" w:ascii="仿宋" w:hAnsi="仿宋" w:eastAsia="仿宋" w:cs="仿宋"/>
                <w:color w:val="auto"/>
                <w:highlight w:val="none"/>
              </w:rPr>
            </w:pPr>
          </w:p>
        </w:tc>
        <w:tc>
          <w:tcPr>
            <w:vAlign w:val="center"/>
          </w:tcPr>
          <w:p w14:paraId="3972C9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4228.33</w:t>
            </w:r>
          </w:p>
        </w:tc>
        <w:tc>
          <w:tcPr>
            <w:vAlign w:val="center"/>
          </w:tcPr>
          <w:p w14:paraId="5D8E57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4715.79</w:t>
            </w:r>
          </w:p>
        </w:tc>
        <w:tc>
          <w:tcPr>
            <w:vAlign w:val="center"/>
          </w:tcPr>
          <w:p w14:paraId="628765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5203.25</w:t>
            </w:r>
          </w:p>
        </w:tc>
        <w:tc>
          <w:tcPr>
            <w:vAlign w:val="center"/>
          </w:tcPr>
          <w:p w14:paraId="57DF65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5714.35</w:t>
            </w:r>
          </w:p>
        </w:tc>
        <w:tc>
          <w:tcPr>
            <w:vAlign w:val="center"/>
          </w:tcPr>
          <w:p w14:paraId="4E383C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6225.45</w:t>
            </w:r>
          </w:p>
        </w:tc>
        <w:tc>
          <w:tcPr>
            <w:vAlign w:val="center"/>
          </w:tcPr>
          <w:p w14:paraId="1669FC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6736.55</w:t>
            </w:r>
          </w:p>
        </w:tc>
        <w:tc>
          <w:tcPr>
            <w:vAlign w:val="center"/>
          </w:tcPr>
          <w:p w14:paraId="0BA5B8A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7217.11</w:t>
            </w:r>
          </w:p>
        </w:tc>
        <w:tc>
          <w:tcPr>
            <w:vAlign w:val="center"/>
          </w:tcPr>
          <w:p w14:paraId="0E8A5EC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7673.95</w:t>
            </w:r>
          </w:p>
        </w:tc>
        <w:tc>
          <w:tcPr>
            <w:vAlign w:val="center"/>
          </w:tcPr>
          <w:p w14:paraId="04901D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8130.79</w:t>
            </w:r>
          </w:p>
        </w:tc>
        <w:tc>
          <w:tcPr>
            <w:vAlign w:val="center"/>
          </w:tcPr>
          <w:p w14:paraId="3448F5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8609.96</w:t>
            </w:r>
          </w:p>
        </w:tc>
      </w:tr>
    </w:tbl>
    <w:p w14:paraId="07841D36">
      <w:pPr>
        <w:rPr>
          <w:rFonts w:hint="eastAsia" w:ascii="仿宋" w:hAnsi="仿宋" w:eastAsia="仿宋" w:cs="仿宋"/>
          <w:color w:val="auto"/>
          <w:highlight w:val="none"/>
          <w:lang w:val="en-US" w:eastAsia="zh-CN"/>
        </w:rPr>
      </w:pPr>
    </w:p>
    <w:p w14:paraId="3154A8DE">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6FA5875B">
      <w:pPr>
        <w:jc w:val="center"/>
        <w:rPr>
          <w:rFonts w:hint="eastAsia" w:ascii="仿宋" w:hAnsi="仿宋" w:eastAsia="仿宋" w:cs="仿宋"/>
          <w:color w:val="auto"/>
          <w:highlight w:val="none"/>
        </w:rPr>
      </w:pPr>
      <w:r>
        <w:rPr>
          <w:rFonts w:hint="eastAsia" w:ascii="仿宋" w:hAnsi="仿宋" w:eastAsia="仿宋" w:cs="仿宋"/>
          <w:b/>
          <w:color w:val="auto"/>
          <w:sz w:val="32"/>
          <w:highlight w:val="none"/>
        </w:rPr>
        <w:t>资金平衡表（续表3）</w:t>
      </w:r>
    </w:p>
    <w:tbl>
      <w:tblPr>
        <w:tblStyle w:val="10"/>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36"/>
        <w:gridCol w:w="2536"/>
        <w:gridCol w:w="936"/>
        <w:gridCol w:w="776"/>
        <w:gridCol w:w="776"/>
        <w:gridCol w:w="856"/>
        <w:gridCol w:w="856"/>
        <w:gridCol w:w="856"/>
        <w:gridCol w:w="856"/>
        <w:gridCol w:w="856"/>
        <w:gridCol w:w="856"/>
        <w:gridCol w:w="856"/>
        <w:gridCol w:w="856"/>
      </w:tblGrid>
      <w:tr w14:paraId="66EEC3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restart"/>
            <w:vAlign w:val="center"/>
          </w:tcPr>
          <w:p w14:paraId="051316A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序号</w:t>
            </w:r>
          </w:p>
        </w:tc>
        <w:tc>
          <w:tcPr>
            <w:vMerge w:val="restart"/>
            <w:vAlign w:val="center"/>
          </w:tcPr>
          <w:p w14:paraId="79FE9C4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w:t>
            </w:r>
          </w:p>
        </w:tc>
        <w:tc>
          <w:tcPr>
            <w:vMerge w:val="restart"/>
            <w:vAlign w:val="center"/>
          </w:tcPr>
          <w:p w14:paraId="78D2AD0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合计</w:t>
            </w:r>
          </w:p>
        </w:tc>
        <w:tc>
          <w:tcPr>
            <w:gridSpan w:val="10"/>
            <w:vAlign w:val="center"/>
          </w:tcPr>
          <w:p w14:paraId="67AC021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运营期</w:t>
            </w:r>
          </w:p>
        </w:tc>
      </w:tr>
      <w:tr w14:paraId="4DB205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Merge w:val="continue"/>
            <w:vAlign w:val="center"/>
          </w:tcPr>
          <w:p w14:paraId="023C4B85">
            <w:pPr>
              <w:jc w:val="center"/>
              <w:rPr>
                <w:rFonts w:hint="eastAsia" w:ascii="仿宋" w:hAnsi="仿宋" w:eastAsia="仿宋" w:cs="仿宋"/>
                <w:color w:val="auto"/>
                <w:highlight w:val="none"/>
              </w:rPr>
            </w:pPr>
          </w:p>
        </w:tc>
        <w:tc>
          <w:tcPr>
            <w:vMerge w:val="continue"/>
            <w:vAlign w:val="center"/>
          </w:tcPr>
          <w:p w14:paraId="4FC08498">
            <w:pPr>
              <w:jc w:val="center"/>
              <w:rPr>
                <w:rFonts w:hint="eastAsia" w:ascii="仿宋" w:hAnsi="仿宋" w:eastAsia="仿宋" w:cs="仿宋"/>
                <w:color w:val="auto"/>
                <w:highlight w:val="none"/>
              </w:rPr>
            </w:pPr>
          </w:p>
        </w:tc>
        <w:tc>
          <w:tcPr>
            <w:vMerge w:val="continue"/>
            <w:vAlign w:val="center"/>
          </w:tcPr>
          <w:p w14:paraId="0E82EC48">
            <w:pPr>
              <w:jc w:val="center"/>
              <w:rPr>
                <w:rFonts w:hint="eastAsia" w:ascii="仿宋" w:hAnsi="仿宋" w:eastAsia="仿宋" w:cs="仿宋"/>
                <w:color w:val="auto"/>
                <w:highlight w:val="none"/>
              </w:rPr>
            </w:pPr>
          </w:p>
        </w:tc>
        <w:tc>
          <w:tcPr>
            <w:vAlign w:val="center"/>
          </w:tcPr>
          <w:p w14:paraId="409A11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2047年</w:t>
            </w:r>
          </w:p>
        </w:tc>
        <w:tc>
          <w:tcPr>
            <w:vAlign w:val="center"/>
          </w:tcPr>
          <w:p w14:paraId="3383D3F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2048年</w:t>
            </w:r>
          </w:p>
        </w:tc>
        <w:tc>
          <w:tcPr>
            <w:vAlign w:val="center"/>
          </w:tcPr>
          <w:p w14:paraId="735C16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2049年</w:t>
            </w:r>
          </w:p>
        </w:tc>
        <w:tc>
          <w:tcPr>
            <w:vAlign w:val="center"/>
          </w:tcPr>
          <w:p w14:paraId="70651B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2050年</w:t>
            </w:r>
          </w:p>
        </w:tc>
        <w:tc>
          <w:tcPr>
            <w:vAlign w:val="center"/>
          </w:tcPr>
          <w:p w14:paraId="2681C2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2051年</w:t>
            </w:r>
          </w:p>
        </w:tc>
        <w:tc>
          <w:tcPr>
            <w:vAlign w:val="center"/>
          </w:tcPr>
          <w:p w14:paraId="038A21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2052年</w:t>
            </w:r>
          </w:p>
        </w:tc>
        <w:tc>
          <w:tcPr>
            <w:vAlign w:val="center"/>
          </w:tcPr>
          <w:p w14:paraId="008C13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2053年</w:t>
            </w:r>
          </w:p>
        </w:tc>
        <w:tc>
          <w:tcPr>
            <w:vAlign w:val="center"/>
          </w:tcPr>
          <w:p w14:paraId="0F54A24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2054年</w:t>
            </w:r>
          </w:p>
        </w:tc>
        <w:tc>
          <w:tcPr>
            <w:vAlign w:val="center"/>
          </w:tcPr>
          <w:p w14:paraId="7B7A05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2055年</w:t>
            </w:r>
          </w:p>
        </w:tc>
        <w:tc>
          <w:tcPr>
            <w:vAlign w:val="center"/>
          </w:tcPr>
          <w:p w14:paraId="6F5FC3A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2056年</w:t>
            </w:r>
          </w:p>
        </w:tc>
      </w:tr>
      <w:tr w14:paraId="37CE1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951C2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一</w:t>
            </w:r>
          </w:p>
        </w:tc>
        <w:tc>
          <w:tcPr>
            <w:vAlign w:val="center"/>
          </w:tcPr>
          <w:p w14:paraId="3AB1F53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经营活动产生的净现金流量</w:t>
            </w:r>
          </w:p>
        </w:tc>
        <w:tc>
          <w:tcPr>
            <w:vAlign w:val="center"/>
          </w:tcPr>
          <w:p w14:paraId="7386FE6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22016.57 </w:t>
            </w:r>
          </w:p>
        </w:tc>
        <w:tc>
          <w:tcPr>
            <w:vAlign w:val="center"/>
          </w:tcPr>
          <w:p w14:paraId="6DC31E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765.17</w:t>
            </w:r>
          </w:p>
        </w:tc>
        <w:tc>
          <w:tcPr>
            <w:vAlign w:val="center"/>
          </w:tcPr>
          <w:p w14:paraId="299D12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765.17</w:t>
            </w:r>
          </w:p>
        </w:tc>
        <w:tc>
          <w:tcPr>
            <w:vAlign w:val="center"/>
          </w:tcPr>
          <w:p w14:paraId="5895A5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788.40</w:t>
            </w:r>
          </w:p>
        </w:tc>
        <w:tc>
          <w:tcPr>
            <w:vAlign w:val="center"/>
          </w:tcPr>
          <w:p w14:paraId="54D2AD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788.40</w:t>
            </w:r>
          </w:p>
        </w:tc>
        <w:tc>
          <w:tcPr>
            <w:vAlign w:val="center"/>
          </w:tcPr>
          <w:p w14:paraId="6B0770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788.40</w:t>
            </w:r>
          </w:p>
        </w:tc>
        <w:tc>
          <w:tcPr>
            <w:vAlign w:val="center"/>
          </w:tcPr>
          <w:p w14:paraId="4F881DB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812.53</w:t>
            </w:r>
          </w:p>
        </w:tc>
        <w:tc>
          <w:tcPr>
            <w:vAlign w:val="center"/>
          </w:tcPr>
          <w:p w14:paraId="2D792E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812.53</w:t>
            </w:r>
          </w:p>
        </w:tc>
        <w:tc>
          <w:tcPr>
            <w:vAlign w:val="center"/>
          </w:tcPr>
          <w:p w14:paraId="176857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812.53</w:t>
            </w:r>
          </w:p>
        </w:tc>
        <w:tc>
          <w:tcPr>
            <w:vAlign w:val="center"/>
          </w:tcPr>
          <w:p w14:paraId="59CA01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837.62</w:t>
            </w:r>
          </w:p>
        </w:tc>
        <w:tc>
          <w:tcPr>
            <w:vAlign w:val="center"/>
          </w:tcPr>
          <w:p w14:paraId="3B36315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801.87</w:t>
            </w:r>
          </w:p>
        </w:tc>
      </w:tr>
      <w:tr w14:paraId="59072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A6A5B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7E40DCE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671A997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31530.21 </w:t>
            </w:r>
          </w:p>
        </w:tc>
        <w:tc>
          <w:tcPr>
            <w:vAlign w:val="center"/>
          </w:tcPr>
          <w:p w14:paraId="46BEF6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1162.40</w:t>
            </w:r>
          </w:p>
        </w:tc>
        <w:tc>
          <w:tcPr>
            <w:vAlign w:val="center"/>
          </w:tcPr>
          <w:p w14:paraId="021CE5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1162.40</w:t>
            </w:r>
          </w:p>
        </w:tc>
        <w:tc>
          <w:tcPr>
            <w:vAlign w:val="center"/>
          </w:tcPr>
          <w:p w14:paraId="7D5DC13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1206.40</w:t>
            </w:r>
          </w:p>
        </w:tc>
        <w:tc>
          <w:tcPr>
            <w:vAlign w:val="center"/>
          </w:tcPr>
          <w:p w14:paraId="0CF05EA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1206.40</w:t>
            </w:r>
          </w:p>
        </w:tc>
        <w:tc>
          <w:tcPr>
            <w:vAlign w:val="center"/>
          </w:tcPr>
          <w:p w14:paraId="24C021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1206.40</w:t>
            </w:r>
          </w:p>
        </w:tc>
        <w:tc>
          <w:tcPr>
            <w:vAlign w:val="center"/>
          </w:tcPr>
          <w:p w14:paraId="5CF143E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1252.18</w:t>
            </w:r>
          </w:p>
        </w:tc>
        <w:tc>
          <w:tcPr>
            <w:vAlign w:val="center"/>
          </w:tcPr>
          <w:p w14:paraId="36E4752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1252.18</w:t>
            </w:r>
          </w:p>
        </w:tc>
        <w:tc>
          <w:tcPr>
            <w:vAlign w:val="center"/>
          </w:tcPr>
          <w:p w14:paraId="0905883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1252.18</w:t>
            </w:r>
          </w:p>
        </w:tc>
        <w:tc>
          <w:tcPr>
            <w:vAlign w:val="center"/>
          </w:tcPr>
          <w:p w14:paraId="60E4FC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1299.81</w:t>
            </w:r>
          </w:p>
        </w:tc>
        <w:tc>
          <w:tcPr>
            <w:vAlign w:val="center"/>
          </w:tcPr>
          <w:p w14:paraId="63CF950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1299.81</w:t>
            </w:r>
          </w:p>
        </w:tc>
      </w:tr>
      <w:tr w14:paraId="7A8317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1D3DF9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6BC7427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经营收入</w:t>
            </w:r>
          </w:p>
        </w:tc>
        <w:tc>
          <w:tcPr>
            <w:vAlign w:val="center"/>
          </w:tcPr>
          <w:p w14:paraId="48C2103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31530.21 </w:t>
            </w:r>
          </w:p>
        </w:tc>
        <w:tc>
          <w:tcPr>
            <w:vAlign w:val="center"/>
          </w:tcPr>
          <w:p w14:paraId="2CDFB5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1162.40</w:t>
            </w:r>
          </w:p>
        </w:tc>
        <w:tc>
          <w:tcPr>
            <w:vAlign w:val="center"/>
          </w:tcPr>
          <w:p w14:paraId="2743FF4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1162.40</w:t>
            </w:r>
          </w:p>
        </w:tc>
        <w:tc>
          <w:tcPr>
            <w:vAlign w:val="center"/>
          </w:tcPr>
          <w:p w14:paraId="0FB1882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1206.40</w:t>
            </w:r>
          </w:p>
        </w:tc>
        <w:tc>
          <w:tcPr>
            <w:vAlign w:val="center"/>
          </w:tcPr>
          <w:p w14:paraId="2EAAC71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1206.40</w:t>
            </w:r>
          </w:p>
        </w:tc>
        <w:tc>
          <w:tcPr>
            <w:vAlign w:val="center"/>
          </w:tcPr>
          <w:p w14:paraId="04A8BB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1206.40</w:t>
            </w:r>
          </w:p>
        </w:tc>
        <w:tc>
          <w:tcPr>
            <w:vAlign w:val="center"/>
          </w:tcPr>
          <w:p w14:paraId="3DF4B6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1252.18</w:t>
            </w:r>
          </w:p>
        </w:tc>
        <w:tc>
          <w:tcPr>
            <w:vAlign w:val="center"/>
          </w:tcPr>
          <w:p w14:paraId="13B340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1252.18</w:t>
            </w:r>
          </w:p>
        </w:tc>
        <w:tc>
          <w:tcPr>
            <w:vAlign w:val="center"/>
          </w:tcPr>
          <w:p w14:paraId="2EFE57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1252.18</w:t>
            </w:r>
          </w:p>
        </w:tc>
        <w:tc>
          <w:tcPr>
            <w:vAlign w:val="center"/>
          </w:tcPr>
          <w:p w14:paraId="561543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1299.81</w:t>
            </w:r>
          </w:p>
        </w:tc>
        <w:tc>
          <w:tcPr>
            <w:vAlign w:val="center"/>
          </w:tcPr>
          <w:p w14:paraId="5AAD4E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1299.81</w:t>
            </w:r>
          </w:p>
        </w:tc>
      </w:tr>
      <w:tr w14:paraId="5692CE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0F7627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220B09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补贴收入</w:t>
            </w:r>
          </w:p>
        </w:tc>
        <w:tc>
          <w:tcPr>
            <w:vAlign w:val="center"/>
          </w:tcPr>
          <w:p w14:paraId="3F64C7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7AA223B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DBEF51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52613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D4DF2E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1A54E6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A0B7D4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E383CB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0BDE6B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CC5D0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A4949C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786677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48A6F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351BA99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34CFB24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9513.64 </w:t>
            </w:r>
          </w:p>
        </w:tc>
        <w:tc>
          <w:tcPr>
            <w:vAlign w:val="center"/>
          </w:tcPr>
          <w:p w14:paraId="4ADBFD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397.23</w:t>
            </w:r>
          </w:p>
        </w:tc>
        <w:tc>
          <w:tcPr>
            <w:vAlign w:val="center"/>
          </w:tcPr>
          <w:p w14:paraId="55FABC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397.23</w:t>
            </w:r>
          </w:p>
        </w:tc>
        <w:tc>
          <w:tcPr>
            <w:vAlign w:val="center"/>
          </w:tcPr>
          <w:p w14:paraId="5A81DE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418.00</w:t>
            </w:r>
          </w:p>
        </w:tc>
        <w:tc>
          <w:tcPr>
            <w:vAlign w:val="center"/>
          </w:tcPr>
          <w:p w14:paraId="1AEC3F6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418.00</w:t>
            </w:r>
          </w:p>
        </w:tc>
        <w:tc>
          <w:tcPr>
            <w:vAlign w:val="center"/>
          </w:tcPr>
          <w:p w14:paraId="54DE596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418.00</w:t>
            </w:r>
          </w:p>
        </w:tc>
        <w:tc>
          <w:tcPr>
            <w:vAlign w:val="center"/>
          </w:tcPr>
          <w:p w14:paraId="46A93FD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439.65</w:t>
            </w:r>
          </w:p>
        </w:tc>
        <w:tc>
          <w:tcPr>
            <w:vAlign w:val="center"/>
          </w:tcPr>
          <w:p w14:paraId="3B787A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439.65</w:t>
            </w:r>
          </w:p>
        </w:tc>
        <w:tc>
          <w:tcPr>
            <w:vAlign w:val="center"/>
          </w:tcPr>
          <w:p w14:paraId="7DD535F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439.65</w:t>
            </w:r>
          </w:p>
        </w:tc>
        <w:tc>
          <w:tcPr>
            <w:vAlign w:val="center"/>
          </w:tcPr>
          <w:p w14:paraId="18C8D4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462.19</w:t>
            </w:r>
          </w:p>
        </w:tc>
        <w:tc>
          <w:tcPr>
            <w:vAlign w:val="center"/>
          </w:tcPr>
          <w:p w14:paraId="33AEAF5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497.94</w:t>
            </w:r>
          </w:p>
        </w:tc>
      </w:tr>
      <w:tr w14:paraId="07CDF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4C30A13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73416B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经营成本</w:t>
            </w:r>
          </w:p>
        </w:tc>
        <w:tc>
          <w:tcPr>
            <w:vAlign w:val="center"/>
          </w:tcPr>
          <w:p w14:paraId="7D5AD6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4743.92 </w:t>
            </w:r>
          </w:p>
        </w:tc>
        <w:tc>
          <w:tcPr>
            <w:vAlign w:val="center"/>
          </w:tcPr>
          <w:p w14:paraId="1AED7E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172.76</w:t>
            </w:r>
          </w:p>
        </w:tc>
        <w:tc>
          <w:tcPr>
            <w:vAlign w:val="center"/>
          </w:tcPr>
          <w:p w14:paraId="326A99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172.76</w:t>
            </w:r>
          </w:p>
        </w:tc>
        <w:tc>
          <w:tcPr>
            <w:vAlign w:val="center"/>
          </w:tcPr>
          <w:p w14:paraId="4FE8EF8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178.99</w:t>
            </w:r>
          </w:p>
        </w:tc>
        <w:tc>
          <w:tcPr>
            <w:vAlign w:val="center"/>
          </w:tcPr>
          <w:p w14:paraId="4CD9668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178.99</w:t>
            </w:r>
          </w:p>
        </w:tc>
        <w:tc>
          <w:tcPr>
            <w:vAlign w:val="center"/>
          </w:tcPr>
          <w:p w14:paraId="3B09E19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178.99</w:t>
            </w:r>
          </w:p>
        </w:tc>
        <w:tc>
          <w:tcPr>
            <w:vAlign w:val="center"/>
          </w:tcPr>
          <w:p w14:paraId="183FFF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185.53</w:t>
            </w:r>
          </w:p>
        </w:tc>
        <w:tc>
          <w:tcPr>
            <w:vAlign w:val="center"/>
          </w:tcPr>
          <w:p w14:paraId="1202F5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185.53</w:t>
            </w:r>
          </w:p>
        </w:tc>
        <w:tc>
          <w:tcPr>
            <w:vAlign w:val="center"/>
          </w:tcPr>
          <w:p w14:paraId="23734F6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185.53</w:t>
            </w:r>
          </w:p>
        </w:tc>
        <w:tc>
          <w:tcPr>
            <w:vAlign w:val="center"/>
          </w:tcPr>
          <w:p w14:paraId="74E7F76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192.37</w:t>
            </w:r>
          </w:p>
        </w:tc>
        <w:tc>
          <w:tcPr>
            <w:vAlign w:val="center"/>
          </w:tcPr>
          <w:p w14:paraId="014A9E8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192.37</w:t>
            </w:r>
          </w:p>
        </w:tc>
      </w:tr>
      <w:tr w14:paraId="3FFF04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789645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0288B1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相关税费（税金及附加+所得税）</w:t>
            </w:r>
          </w:p>
        </w:tc>
        <w:tc>
          <w:tcPr>
            <w:vAlign w:val="center"/>
          </w:tcPr>
          <w:p w14:paraId="1A2620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4769.72 </w:t>
            </w:r>
          </w:p>
        </w:tc>
        <w:tc>
          <w:tcPr>
            <w:vAlign w:val="center"/>
          </w:tcPr>
          <w:p w14:paraId="51DE3A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224.48</w:t>
            </w:r>
          </w:p>
        </w:tc>
        <w:tc>
          <w:tcPr>
            <w:vAlign w:val="center"/>
          </w:tcPr>
          <w:p w14:paraId="0FC56A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224.48</w:t>
            </w:r>
          </w:p>
        </w:tc>
        <w:tc>
          <w:tcPr>
            <w:vAlign w:val="center"/>
          </w:tcPr>
          <w:p w14:paraId="46BAB88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239.01</w:t>
            </w:r>
          </w:p>
        </w:tc>
        <w:tc>
          <w:tcPr>
            <w:vAlign w:val="center"/>
          </w:tcPr>
          <w:p w14:paraId="3790E4B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239.01</w:t>
            </w:r>
          </w:p>
        </w:tc>
        <w:tc>
          <w:tcPr>
            <w:vAlign w:val="center"/>
          </w:tcPr>
          <w:p w14:paraId="3359E31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239.01</w:t>
            </w:r>
          </w:p>
        </w:tc>
        <w:tc>
          <w:tcPr>
            <w:vAlign w:val="center"/>
          </w:tcPr>
          <w:p w14:paraId="0C4EFB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254.13</w:t>
            </w:r>
          </w:p>
        </w:tc>
        <w:tc>
          <w:tcPr>
            <w:vAlign w:val="center"/>
          </w:tcPr>
          <w:p w14:paraId="5C418F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254.13</w:t>
            </w:r>
          </w:p>
        </w:tc>
        <w:tc>
          <w:tcPr>
            <w:vAlign w:val="center"/>
          </w:tcPr>
          <w:p w14:paraId="187DA49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254.13</w:t>
            </w:r>
          </w:p>
        </w:tc>
        <w:tc>
          <w:tcPr>
            <w:vAlign w:val="center"/>
          </w:tcPr>
          <w:p w14:paraId="5559236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269.82</w:t>
            </w:r>
          </w:p>
        </w:tc>
        <w:tc>
          <w:tcPr>
            <w:vAlign w:val="center"/>
          </w:tcPr>
          <w:p w14:paraId="6E2CB33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305.57</w:t>
            </w:r>
          </w:p>
        </w:tc>
      </w:tr>
      <w:tr w14:paraId="31C4F6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345DAB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二</w:t>
            </w:r>
          </w:p>
        </w:tc>
        <w:tc>
          <w:tcPr>
            <w:vAlign w:val="center"/>
          </w:tcPr>
          <w:p w14:paraId="1A408A8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投资活动净现金流量</w:t>
            </w:r>
          </w:p>
        </w:tc>
        <w:tc>
          <w:tcPr>
            <w:vAlign w:val="center"/>
          </w:tcPr>
          <w:p w14:paraId="4DB9448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2D4017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4CF928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EA32B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EA7B45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1DDB21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025E86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4C156B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373C6D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8D2DE7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FBD51C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4839F7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ACFBD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190F9B4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46A5D3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0D94747B">
            <w:pPr>
              <w:jc w:val="center"/>
              <w:rPr>
                <w:rFonts w:hint="eastAsia" w:ascii="仿宋" w:hAnsi="仿宋" w:eastAsia="仿宋" w:cs="仿宋"/>
                <w:color w:val="auto"/>
                <w:highlight w:val="none"/>
              </w:rPr>
            </w:pPr>
          </w:p>
        </w:tc>
        <w:tc>
          <w:tcPr>
            <w:vAlign w:val="center"/>
          </w:tcPr>
          <w:p w14:paraId="49B31F12">
            <w:pPr>
              <w:jc w:val="center"/>
              <w:rPr>
                <w:rFonts w:hint="eastAsia" w:ascii="仿宋" w:hAnsi="仿宋" w:eastAsia="仿宋" w:cs="仿宋"/>
                <w:color w:val="auto"/>
                <w:highlight w:val="none"/>
              </w:rPr>
            </w:pPr>
          </w:p>
        </w:tc>
        <w:tc>
          <w:tcPr>
            <w:vAlign w:val="center"/>
          </w:tcPr>
          <w:p w14:paraId="55771624">
            <w:pPr>
              <w:jc w:val="center"/>
              <w:rPr>
                <w:rFonts w:hint="eastAsia" w:ascii="仿宋" w:hAnsi="仿宋" w:eastAsia="仿宋" w:cs="仿宋"/>
                <w:color w:val="auto"/>
                <w:highlight w:val="none"/>
              </w:rPr>
            </w:pPr>
          </w:p>
        </w:tc>
        <w:tc>
          <w:tcPr>
            <w:vAlign w:val="center"/>
          </w:tcPr>
          <w:p w14:paraId="7CB9FF96">
            <w:pPr>
              <w:jc w:val="center"/>
              <w:rPr>
                <w:rFonts w:hint="eastAsia" w:ascii="仿宋" w:hAnsi="仿宋" w:eastAsia="仿宋" w:cs="仿宋"/>
                <w:color w:val="auto"/>
                <w:highlight w:val="none"/>
              </w:rPr>
            </w:pPr>
          </w:p>
        </w:tc>
        <w:tc>
          <w:tcPr>
            <w:vAlign w:val="center"/>
          </w:tcPr>
          <w:p w14:paraId="0A47219F">
            <w:pPr>
              <w:jc w:val="center"/>
              <w:rPr>
                <w:rFonts w:hint="eastAsia" w:ascii="仿宋" w:hAnsi="仿宋" w:eastAsia="仿宋" w:cs="仿宋"/>
                <w:color w:val="auto"/>
                <w:highlight w:val="none"/>
              </w:rPr>
            </w:pPr>
          </w:p>
        </w:tc>
        <w:tc>
          <w:tcPr>
            <w:vAlign w:val="center"/>
          </w:tcPr>
          <w:p w14:paraId="5BD0874B">
            <w:pPr>
              <w:jc w:val="center"/>
              <w:rPr>
                <w:rFonts w:hint="eastAsia" w:ascii="仿宋" w:hAnsi="仿宋" w:eastAsia="仿宋" w:cs="仿宋"/>
                <w:color w:val="auto"/>
                <w:highlight w:val="none"/>
              </w:rPr>
            </w:pPr>
          </w:p>
        </w:tc>
        <w:tc>
          <w:tcPr>
            <w:vAlign w:val="center"/>
          </w:tcPr>
          <w:p w14:paraId="390260C6">
            <w:pPr>
              <w:jc w:val="center"/>
              <w:rPr>
                <w:rFonts w:hint="eastAsia" w:ascii="仿宋" w:hAnsi="仿宋" w:eastAsia="仿宋" w:cs="仿宋"/>
                <w:color w:val="auto"/>
                <w:highlight w:val="none"/>
              </w:rPr>
            </w:pPr>
          </w:p>
        </w:tc>
        <w:tc>
          <w:tcPr>
            <w:vAlign w:val="center"/>
          </w:tcPr>
          <w:p w14:paraId="76B203D1">
            <w:pPr>
              <w:jc w:val="center"/>
              <w:rPr>
                <w:rFonts w:hint="eastAsia" w:ascii="仿宋" w:hAnsi="仿宋" w:eastAsia="仿宋" w:cs="仿宋"/>
                <w:color w:val="auto"/>
                <w:highlight w:val="none"/>
              </w:rPr>
            </w:pPr>
          </w:p>
        </w:tc>
        <w:tc>
          <w:tcPr>
            <w:vAlign w:val="center"/>
          </w:tcPr>
          <w:p w14:paraId="7C41EED6">
            <w:pPr>
              <w:jc w:val="center"/>
              <w:rPr>
                <w:rFonts w:hint="eastAsia" w:ascii="仿宋" w:hAnsi="仿宋" w:eastAsia="仿宋" w:cs="仿宋"/>
                <w:color w:val="auto"/>
                <w:highlight w:val="none"/>
              </w:rPr>
            </w:pPr>
          </w:p>
        </w:tc>
        <w:tc>
          <w:tcPr>
            <w:vAlign w:val="center"/>
          </w:tcPr>
          <w:p w14:paraId="32936066">
            <w:pPr>
              <w:jc w:val="center"/>
              <w:rPr>
                <w:rFonts w:hint="eastAsia" w:ascii="仿宋" w:hAnsi="仿宋" w:eastAsia="仿宋" w:cs="仿宋"/>
                <w:color w:val="auto"/>
                <w:highlight w:val="none"/>
              </w:rPr>
            </w:pPr>
          </w:p>
        </w:tc>
      </w:tr>
      <w:tr w14:paraId="5FC64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986F2F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5953EF2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处置投资物</w:t>
            </w:r>
          </w:p>
        </w:tc>
        <w:tc>
          <w:tcPr>
            <w:vAlign w:val="center"/>
          </w:tcPr>
          <w:p w14:paraId="394F5BB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3E832B46">
            <w:pPr>
              <w:jc w:val="center"/>
              <w:rPr>
                <w:rFonts w:hint="eastAsia" w:ascii="仿宋" w:hAnsi="仿宋" w:eastAsia="仿宋" w:cs="仿宋"/>
                <w:color w:val="auto"/>
                <w:highlight w:val="none"/>
              </w:rPr>
            </w:pPr>
          </w:p>
        </w:tc>
        <w:tc>
          <w:tcPr>
            <w:vAlign w:val="center"/>
          </w:tcPr>
          <w:p w14:paraId="491ECBEA">
            <w:pPr>
              <w:jc w:val="center"/>
              <w:rPr>
                <w:rFonts w:hint="eastAsia" w:ascii="仿宋" w:hAnsi="仿宋" w:eastAsia="仿宋" w:cs="仿宋"/>
                <w:color w:val="auto"/>
                <w:highlight w:val="none"/>
              </w:rPr>
            </w:pPr>
          </w:p>
        </w:tc>
        <w:tc>
          <w:tcPr>
            <w:vAlign w:val="center"/>
          </w:tcPr>
          <w:p w14:paraId="5FBC4F94">
            <w:pPr>
              <w:jc w:val="center"/>
              <w:rPr>
                <w:rFonts w:hint="eastAsia" w:ascii="仿宋" w:hAnsi="仿宋" w:eastAsia="仿宋" w:cs="仿宋"/>
                <w:color w:val="auto"/>
                <w:highlight w:val="none"/>
              </w:rPr>
            </w:pPr>
          </w:p>
        </w:tc>
        <w:tc>
          <w:tcPr>
            <w:vAlign w:val="center"/>
          </w:tcPr>
          <w:p w14:paraId="18CC17EE">
            <w:pPr>
              <w:jc w:val="center"/>
              <w:rPr>
                <w:rFonts w:hint="eastAsia" w:ascii="仿宋" w:hAnsi="仿宋" w:eastAsia="仿宋" w:cs="仿宋"/>
                <w:color w:val="auto"/>
                <w:highlight w:val="none"/>
              </w:rPr>
            </w:pPr>
          </w:p>
        </w:tc>
        <w:tc>
          <w:tcPr>
            <w:vAlign w:val="center"/>
          </w:tcPr>
          <w:p w14:paraId="39A7DEA6">
            <w:pPr>
              <w:jc w:val="center"/>
              <w:rPr>
                <w:rFonts w:hint="eastAsia" w:ascii="仿宋" w:hAnsi="仿宋" w:eastAsia="仿宋" w:cs="仿宋"/>
                <w:color w:val="auto"/>
                <w:highlight w:val="none"/>
              </w:rPr>
            </w:pPr>
          </w:p>
        </w:tc>
        <w:tc>
          <w:tcPr>
            <w:vAlign w:val="center"/>
          </w:tcPr>
          <w:p w14:paraId="4B0650B0">
            <w:pPr>
              <w:jc w:val="center"/>
              <w:rPr>
                <w:rFonts w:hint="eastAsia" w:ascii="仿宋" w:hAnsi="仿宋" w:eastAsia="仿宋" w:cs="仿宋"/>
                <w:color w:val="auto"/>
                <w:highlight w:val="none"/>
              </w:rPr>
            </w:pPr>
          </w:p>
        </w:tc>
        <w:tc>
          <w:tcPr>
            <w:vAlign w:val="center"/>
          </w:tcPr>
          <w:p w14:paraId="1AEA5B4C">
            <w:pPr>
              <w:jc w:val="center"/>
              <w:rPr>
                <w:rFonts w:hint="eastAsia" w:ascii="仿宋" w:hAnsi="仿宋" w:eastAsia="仿宋" w:cs="仿宋"/>
                <w:color w:val="auto"/>
                <w:highlight w:val="none"/>
              </w:rPr>
            </w:pPr>
          </w:p>
        </w:tc>
        <w:tc>
          <w:tcPr>
            <w:vAlign w:val="center"/>
          </w:tcPr>
          <w:p w14:paraId="281B21E7">
            <w:pPr>
              <w:jc w:val="center"/>
              <w:rPr>
                <w:rFonts w:hint="eastAsia" w:ascii="仿宋" w:hAnsi="仿宋" w:eastAsia="仿宋" w:cs="仿宋"/>
                <w:color w:val="auto"/>
                <w:highlight w:val="none"/>
              </w:rPr>
            </w:pPr>
          </w:p>
        </w:tc>
        <w:tc>
          <w:tcPr>
            <w:vAlign w:val="center"/>
          </w:tcPr>
          <w:p w14:paraId="2004E349">
            <w:pPr>
              <w:jc w:val="center"/>
              <w:rPr>
                <w:rFonts w:hint="eastAsia" w:ascii="仿宋" w:hAnsi="仿宋" w:eastAsia="仿宋" w:cs="仿宋"/>
                <w:color w:val="auto"/>
                <w:highlight w:val="none"/>
              </w:rPr>
            </w:pPr>
          </w:p>
        </w:tc>
        <w:tc>
          <w:tcPr>
            <w:vAlign w:val="center"/>
          </w:tcPr>
          <w:p w14:paraId="24744BC5">
            <w:pPr>
              <w:jc w:val="center"/>
              <w:rPr>
                <w:rFonts w:hint="eastAsia" w:ascii="仿宋" w:hAnsi="仿宋" w:eastAsia="仿宋" w:cs="仿宋"/>
                <w:color w:val="auto"/>
                <w:highlight w:val="none"/>
              </w:rPr>
            </w:pPr>
          </w:p>
        </w:tc>
      </w:tr>
      <w:tr w14:paraId="6221C0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6A0874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7B5411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收到其他投资</w:t>
            </w:r>
          </w:p>
        </w:tc>
        <w:tc>
          <w:tcPr>
            <w:vAlign w:val="center"/>
          </w:tcPr>
          <w:p w14:paraId="1C805B5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047E3B87">
            <w:pPr>
              <w:jc w:val="center"/>
              <w:rPr>
                <w:rFonts w:hint="eastAsia" w:ascii="仿宋" w:hAnsi="仿宋" w:eastAsia="仿宋" w:cs="仿宋"/>
                <w:color w:val="auto"/>
                <w:highlight w:val="none"/>
              </w:rPr>
            </w:pPr>
          </w:p>
        </w:tc>
        <w:tc>
          <w:tcPr>
            <w:vAlign w:val="center"/>
          </w:tcPr>
          <w:p w14:paraId="69B738ED">
            <w:pPr>
              <w:jc w:val="center"/>
              <w:rPr>
                <w:rFonts w:hint="eastAsia" w:ascii="仿宋" w:hAnsi="仿宋" w:eastAsia="仿宋" w:cs="仿宋"/>
                <w:color w:val="auto"/>
                <w:highlight w:val="none"/>
              </w:rPr>
            </w:pPr>
          </w:p>
        </w:tc>
        <w:tc>
          <w:tcPr>
            <w:vAlign w:val="center"/>
          </w:tcPr>
          <w:p w14:paraId="3C1E39CD">
            <w:pPr>
              <w:jc w:val="center"/>
              <w:rPr>
                <w:rFonts w:hint="eastAsia" w:ascii="仿宋" w:hAnsi="仿宋" w:eastAsia="仿宋" w:cs="仿宋"/>
                <w:color w:val="auto"/>
                <w:highlight w:val="none"/>
              </w:rPr>
            </w:pPr>
          </w:p>
        </w:tc>
        <w:tc>
          <w:tcPr>
            <w:vAlign w:val="center"/>
          </w:tcPr>
          <w:p w14:paraId="7AFC19AA">
            <w:pPr>
              <w:jc w:val="center"/>
              <w:rPr>
                <w:rFonts w:hint="eastAsia" w:ascii="仿宋" w:hAnsi="仿宋" w:eastAsia="仿宋" w:cs="仿宋"/>
                <w:color w:val="auto"/>
                <w:highlight w:val="none"/>
              </w:rPr>
            </w:pPr>
          </w:p>
        </w:tc>
        <w:tc>
          <w:tcPr>
            <w:vAlign w:val="center"/>
          </w:tcPr>
          <w:p w14:paraId="20751A80">
            <w:pPr>
              <w:jc w:val="center"/>
              <w:rPr>
                <w:rFonts w:hint="eastAsia" w:ascii="仿宋" w:hAnsi="仿宋" w:eastAsia="仿宋" w:cs="仿宋"/>
                <w:color w:val="auto"/>
                <w:highlight w:val="none"/>
              </w:rPr>
            </w:pPr>
          </w:p>
        </w:tc>
        <w:tc>
          <w:tcPr>
            <w:vAlign w:val="center"/>
          </w:tcPr>
          <w:p w14:paraId="148BD058">
            <w:pPr>
              <w:jc w:val="center"/>
              <w:rPr>
                <w:rFonts w:hint="eastAsia" w:ascii="仿宋" w:hAnsi="仿宋" w:eastAsia="仿宋" w:cs="仿宋"/>
                <w:color w:val="auto"/>
                <w:highlight w:val="none"/>
              </w:rPr>
            </w:pPr>
          </w:p>
        </w:tc>
        <w:tc>
          <w:tcPr>
            <w:vAlign w:val="center"/>
          </w:tcPr>
          <w:p w14:paraId="0829AE33">
            <w:pPr>
              <w:jc w:val="center"/>
              <w:rPr>
                <w:rFonts w:hint="eastAsia" w:ascii="仿宋" w:hAnsi="仿宋" w:eastAsia="仿宋" w:cs="仿宋"/>
                <w:color w:val="auto"/>
                <w:highlight w:val="none"/>
              </w:rPr>
            </w:pPr>
          </w:p>
        </w:tc>
        <w:tc>
          <w:tcPr>
            <w:vAlign w:val="center"/>
          </w:tcPr>
          <w:p w14:paraId="63B8A812">
            <w:pPr>
              <w:jc w:val="center"/>
              <w:rPr>
                <w:rFonts w:hint="eastAsia" w:ascii="仿宋" w:hAnsi="仿宋" w:eastAsia="仿宋" w:cs="仿宋"/>
                <w:color w:val="auto"/>
                <w:highlight w:val="none"/>
              </w:rPr>
            </w:pPr>
          </w:p>
        </w:tc>
        <w:tc>
          <w:tcPr>
            <w:vAlign w:val="center"/>
          </w:tcPr>
          <w:p w14:paraId="64554849">
            <w:pPr>
              <w:jc w:val="center"/>
              <w:rPr>
                <w:rFonts w:hint="eastAsia" w:ascii="仿宋" w:hAnsi="仿宋" w:eastAsia="仿宋" w:cs="仿宋"/>
                <w:color w:val="auto"/>
                <w:highlight w:val="none"/>
              </w:rPr>
            </w:pPr>
          </w:p>
        </w:tc>
        <w:tc>
          <w:tcPr>
            <w:vAlign w:val="center"/>
          </w:tcPr>
          <w:p w14:paraId="23F0D899">
            <w:pPr>
              <w:jc w:val="center"/>
              <w:rPr>
                <w:rFonts w:hint="eastAsia" w:ascii="仿宋" w:hAnsi="仿宋" w:eastAsia="仿宋" w:cs="仿宋"/>
                <w:color w:val="auto"/>
                <w:highlight w:val="none"/>
              </w:rPr>
            </w:pPr>
          </w:p>
        </w:tc>
      </w:tr>
      <w:tr w14:paraId="55EF7B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55B7F25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339FE14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01F0356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7F799592">
            <w:pPr>
              <w:jc w:val="center"/>
              <w:rPr>
                <w:rFonts w:hint="eastAsia" w:ascii="仿宋" w:hAnsi="仿宋" w:eastAsia="仿宋" w:cs="仿宋"/>
                <w:color w:val="auto"/>
                <w:highlight w:val="none"/>
              </w:rPr>
            </w:pPr>
          </w:p>
        </w:tc>
        <w:tc>
          <w:tcPr>
            <w:vAlign w:val="center"/>
          </w:tcPr>
          <w:p w14:paraId="79661F25">
            <w:pPr>
              <w:jc w:val="center"/>
              <w:rPr>
                <w:rFonts w:hint="eastAsia" w:ascii="仿宋" w:hAnsi="仿宋" w:eastAsia="仿宋" w:cs="仿宋"/>
                <w:color w:val="auto"/>
                <w:highlight w:val="none"/>
              </w:rPr>
            </w:pPr>
          </w:p>
        </w:tc>
        <w:tc>
          <w:tcPr>
            <w:vAlign w:val="center"/>
          </w:tcPr>
          <w:p w14:paraId="42BE0410">
            <w:pPr>
              <w:jc w:val="center"/>
              <w:rPr>
                <w:rFonts w:hint="eastAsia" w:ascii="仿宋" w:hAnsi="仿宋" w:eastAsia="仿宋" w:cs="仿宋"/>
                <w:color w:val="auto"/>
                <w:highlight w:val="none"/>
              </w:rPr>
            </w:pPr>
          </w:p>
        </w:tc>
        <w:tc>
          <w:tcPr>
            <w:vAlign w:val="center"/>
          </w:tcPr>
          <w:p w14:paraId="6862A730">
            <w:pPr>
              <w:jc w:val="center"/>
              <w:rPr>
                <w:rFonts w:hint="eastAsia" w:ascii="仿宋" w:hAnsi="仿宋" w:eastAsia="仿宋" w:cs="仿宋"/>
                <w:color w:val="auto"/>
                <w:highlight w:val="none"/>
              </w:rPr>
            </w:pPr>
          </w:p>
        </w:tc>
        <w:tc>
          <w:tcPr>
            <w:vAlign w:val="center"/>
          </w:tcPr>
          <w:p w14:paraId="221F4D9A">
            <w:pPr>
              <w:jc w:val="center"/>
              <w:rPr>
                <w:rFonts w:hint="eastAsia" w:ascii="仿宋" w:hAnsi="仿宋" w:eastAsia="仿宋" w:cs="仿宋"/>
                <w:color w:val="auto"/>
                <w:highlight w:val="none"/>
              </w:rPr>
            </w:pPr>
          </w:p>
        </w:tc>
        <w:tc>
          <w:tcPr>
            <w:vAlign w:val="center"/>
          </w:tcPr>
          <w:p w14:paraId="11003CF6">
            <w:pPr>
              <w:jc w:val="center"/>
              <w:rPr>
                <w:rFonts w:hint="eastAsia" w:ascii="仿宋" w:hAnsi="仿宋" w:eastAsia="仿宋" w:cs="仿宋"/>
                <w:color w:val="auto"/>
                <w:highlight w:val="none"/>
              </w:rPr>
            </w:pPr>
          </w:p>
        </w:tc>
        <w:tc>
          <w:tcPr>
            <w:vAlign w:val="center"/>
          </w:tcPr>
          <w:p w14:paraId="0AE480B6">
            <w:pPr>
              <w:jc w:val="center"/>
              <w:rPr>
                <w:rFonts w:hint="eastAsia" w:ascii="仿宋" w:hAnsi="仿宋" w:eastAsia="仿宋" w:cs="仿宋"/>
                <w:color w:val="auto"/>
                <w:highlight w:val="none"/>
              </w:rPr>
            </w:pPr>
          </w:p>
        </w:tc>
        <w:tc>
          <w:tcPr>
            <w:vAlign w:val="center"/>
          </w:tcPr>
          <w:p w14:paraId="3DC7383C">
            <w:pPr>
              <w:jc w:val="center"/>
              <w:rPr>
                <w:rFonts w:hint="eastAsia" w:ascii="仿宋" w:hAnsi="仿宋" w:eastAsia="仿宋" w:cs="仿宋"/>
                <w:color w:val="auto"/>
                <w:highlight w:val="none"/>
              </w:rPr>
            </w:pPr>
          </w:p>
        </w:tc>
        <w:tc>
          <w:tcPr>
            <w:vAlign w:val="center"/>
          </w:tcPr>
          <w:p w14:paraId="3B353824">
            <w:pPr>
              <w:jc w:val="center"/>
              <w:rPr>
                <w:rFonts w:hint="eastAsia" w:ascii="仿宋" w:hAnsi="仿宋" w:eastAsia="仿宋" w:cs="仿宋"/>
                <w:color w:val="auto"/>
                <w:highlight w:val="none"/>
              </w:rPr>
            </w:pPr>
          </w:p>
        </w:tc>
        <w:tc>
          <w:tcPr>
            <w:vAlign w:val="center"/>
          </w:tcPr>
          <w:p w14:paraId="49003E35">
            <w:pPr>
              <w:jc w:val="center"/>
              <w:rPr>
                <w:rFonts w:hint="eastAsia" w:ascii="仿宋" w:hAnsi="仿宋" w:eastAsia="仿宋" w:cs="仿宋"/>
                <w:color w:val="auto"/>
                <w:highlight w:val="none"/>
              </w:rPr>
            </w:pPr>
          </w:p>
        </w:tc>
      </w:tr>
      <w:tr w14:paraId="216C30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EB925F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2694515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建设投资</w:t>
            </w:r>
          </w:p>
        </w:tc>
        <w:tc>
          <w:tcPr>
            <w:vAlign w:val="center"/>
          </w:tcPr>
          <w:p w14:paraId="36AAD42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15560.00 </w:t>
            </w:r>
          </w:p>
        </w:tc>
        <w:tc>
          <w:tcPr>
            <w:vAlign w:val="center"/>
          </w:tcPr>
          <w:p w14:paraId="5F946E84">
            <w:pPr>
              <w:jc w:val="center"/>
              <w:rPr>
                <w:rFonts w:hint="eastAsia" w:ascii="仿宋" w:hAnsi="仿宋" w:eastAsia="仿宋" w:cs="仿宋"/>
                <w:color w:val="auto"/>
                <w:highlight w:val="none"/>
              </w:rPr>
            </w:pPr>
          </w:p>
        </w:tc>
        <w:tc>
          <w:tcPr>
            <w:vAlign w:val="center"/>
          </w:tcPr>
          <w:p w14:paraId="64F9949A">
            <w:pPr>
              <w:jc w:val="center"/>
              <w:rPr>
                <w:rFonts w:hint="eastAsia" w:ascii="仿宋" w:hAnsi="仿宋" w:eastAsia="仿宋" w:cs="仿宋"/>
                <w:color w:val="auto"/>
                <w:highlight w:val="none"/>
              </w:rPr>
            </w:pPr>
          </w:p>
        </w:tc>
        <w:tc>
          <w:tcPr>
            <w:vAlign w:val="center"/>
          </w:tcPr>
          <w:p w14:paraId="0ABE7447">
            <w:pPr>
              <w:jc w:val="center"/>
              <w:rPr>
                <w:rFonts w:hint="eastAsia" w:ascii="仿宋" w:hAnsi="仿宋" w:eastAsia="仿宋" w:cs="仿宋"/>
                <w:color w:val="auto"/>
                <w:highlight w:val="none"/>
              </w:rPr>
            </w:pPr>
          </w:p>
        </w:tc>
        <w:tc>
          <w:tcPr>
            <w:vAlign w:val="center"/>
          </w:tcPr>
          <w:p w14:paraId="00EDA005">
            <w:pPr>
              <w:jc w:val="center"/>
              <w:rPr>
                <w:rFonts w:hint="eastAsia" w:ascii="仿宋" w:hAnsi="仿宋" w:eastAsia="仿宋" w:cs="仿宋"/>
                <w:color w:val="auto"/>
                <w:highlight w:val="none"/>
              </w:rPr>
            </w:pPr>
          </w:p>
        </w:tc>
        <w:tc>
          <w:tcPr>
            <w:vAlign w:val="center"/>
          </w:tcPr>
          <w:p w14:paraId="5F177F69">
            <w:pPr>
              <w:jc w:val="center"/>
              <w:rPr>
                <w:rFonts w:hint="eastAsia" w:ascii="仿宋" w:hAnsi="仿宋" w:eastAsia="仿宋" w:cs="仿宋"/>
                <w:color w:val="auto"/>
                <w:highlight w:val="none"/>
              </w:rPr>
            </w:pPr>
          </w:p>
        </w:tc>
        <w:tc>
          <w:tcPr>
            <w:vAlign w:val="center"/>
          </w:tcPr>
          <w:p w14:paraId="5301A90F">
            <w:pPr>
              <w:jc w:val="center"/>
              <w:rPr>
                <w:rFonts w:hint="eastAsia" w:ascii="仿宋" w:hAnsi="仿宋" w:eastAsia="仿宋" w:cs="仿宋"/>
                <w:color w:val="auto"/>
                <w:highlight w:val="none"/>
              </w:rPr>
            </w:pPr>
          </w:p>
        </w:tc>
        <w:tc>
          <w:tcPr>
            <w:vAlign w:val="center"/>
          </w:tcPr>
          <w:p w14:paraId="46417491">
            <w:pPr>
              <w:jc w:val="center"/>
              <w:rPr>
                <w:rFonts w:hint="eastAsia" w:ascii="仿宋" w:hAnsi="仿宋" w:eastAsia="仿宋" w:cs="仿宋"/>
                <w:color w:val="auto"/>
                <w:highlight w:val="none"/>
              </w:rPr>
            </w:pPr>
          </w:p>
        </w:tc>
        <w:tc>
          <w:tcPr>
            <w:vAlign w:val="center"/>
          </w:tcPr>
          <w:p w14:paraId="1B07DAEE">
            <w:pPr>
              <w:jc w:val="center"/>
              <w:rPr>
                <w:rFonts w:hint="eastAsia" w:ascii="仿宋" w:hAnsi="仿宋" w:eastAsia="仿宋" w:cs="仿宋"/>
                <w:color w:val="auto"/>
                <w:highlight w:val="none"/>
              </w:rPr>
            </w:pPr>
          </w:p>
        </w:tc>
        <w:tc>
          <w:tcPr>
            <w:vAlign w:val="center"/>
          </w:tcPr>
          <w:p w14:paraId="6B42FCBB">
            <w:pPr>
              <w:jc w:val="center"/>
              <w:rPr>
                <w:rFonts w:hint="eastAsia" w:ascii="仿宋" w:hAnsi="仿宋" w:eastAsia="仿宋" w:cs="仿宋"/>
                <w:color w:val="auto"/>
                <w:highlight w:val="none"/>
              </w:rPr>
            </w:pPr>
          </w:p>
        </w:tc>
        <w:tc>
          <w:tcPr>
            <w:vAlign w:val="center"/>
          </w:tcPr>
          <w:p w14:paraId="6B7432D8">
            <w:pPr>
              <w:jc w:val="center"/>
              <w:rPr>
                <w:rFonts w:hint="eastAsia" w:ascii="仿宋" w:hAnsi="仿宋" w:eastAsia="仿宋" w:cs="仿宋"/>
                <w:color w:val="auto"/>
                <w:highlight w:val="none"/>
              </w:rPr>
            </w:pPr>
          </w:p>
        </w:tc>
      </w:tr>
      <w:tr w14:paraId="31D4A0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32554A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6E1722B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维持运营投资</w:t>
            </w:r>
          </w:p>
        </w:tc>
        <w:tc>
          <w:tcPr>
            <w:vAlign w:val="center"/>
          </w:tcPr>
          <w:p w14:paraId="3A0D94D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0.00 </w:t>
            </w:r>
          </w:p>
        </w:tc>
        <w:tc>
          <w:tcPr>
            <w:vAlign w:val="center"/>
          </w:tcPr>
          <w:p w14:paraId="7513A224">
            <w:pPr>
              <w:jc w:val="center"/>
              <w:rPr>
                <w:rFonts w:hint="eastAsia" w:ascii="仿宋" w:hAnsi="仿宋" w:eastAsia="仿宋" w:cs="仿宋"/>
                <w:color w:val="auto"/>
                <w:highlight w:val="none"/>
              </w:rPr>
            </w:pPr>
          </w:p>
        </w:tc>
        <w:tc>
          <w:tcPr>
            <w:vAlign w:val="center"/>
          </w:tcPr>
          <w:p w14:paraId="0622BE0E">
            <w:pPr>
              <w:jc w:val="center"/>
              <w:rPr>
                <w:rFonts w:hint="eastAsia" w:ascii="仿宋" w:hAnsi="仿宋" w:eastAsia="仿宋" w:cs="仿宋"/>
                <w:color w:val="auto"/>
                <w:highlight w:val="none"/>
              </w:rPr>
            </w:pPr>
          </w:p>
        </w:tc>
        <w:tc>
          <w:tcPr>
            <w:vAlign w:val="center"/>
          </w:tcPr>
          <w:p w14:paraId="7562EAF5">
            <w:pPr>
              <w:jc w:val="center"/>
              <w:rPr>
                <w:rFonts w:hint="eastAsia" w:ascii="仿宋" w:hAnsi="仿宋" w:eastAsia="仿宋" w:cs="仿宋"/>
                <w:color w:val="auto"/>
                <w:highlight w:val="none"/>
              </w:rPr>
            </w:pPr>
          </w:p>
        </w:tc>
        <w:tc>
          <w:tcPr>
            <w:vAlign w:val="center"/>
          </w:tcPr>
          <w:p w14:paraId="31AC8847">
            <w:pPr>
              <w:jc w:val="center"/>
              <w:rPr>
                <w:rFonts w:hint="eastAsia" w:ascii="仿宋" w:hAnsi="仿宋" w:eastAsia="仿宋" w:cs="仿宋"/>
                <w:color w:val="auto"/>
                <w:highlight w:val="none"/>
              </w:rPr>
            </w:pPr>
          </w:p>
        </w:tc>
        <w:tc>
          <w:tcPr>
            <w:vAlign w:val="center"/>
          </w:tcPr>
          <w:p w14:paraId="5C091D14">
            <w:pPr>
              <w:jc w:val="center"/>
              <w:rPr>
                <w:rFonts w:hint="eastAsia" w:ascii="仿宋" w:hAnsi="仿宋" w:eastAsia="仿宋" w:cs="仿宋"/>
                <w:color w:val="auto"/>
                <w:highlight w:val="none"/>
              </w:rPr>
            </w:pPr>
          </w:p>
        </w:tc>
        <w:tc>
          <w:tcPr>
            <w:vAlign w:val="center"/>
          </w:tcPr>
          <w:p w14:paraId="3BCACBC7">
            <w:pPr>
              <w:jc w:val="center"/>
              <w:rPr>
                <w:rFonts w:hint="eastAsia" w:ascii="仿宋" w:hAnsi="仿宋" w:eastAsia="仿宋" w:cs="仿宋"/>
                <w:color w:val="auto"/>
                <w:highlight w:val="none"/>
              </w:rPr>
            </w:pPr>
          </w:p>
        </w:tc>
        <w:tc>
          <w:tcPr>
            <w:vAlign w:val="center"/>
          </w:tcPr>
          <w:p w14:paraId="6DE7D0D9">
            <w:pPr>
              <w:jc w:val="center"/>
              <w:rPr>
                <w:rFonts w:hint="eastAsia" w:ascii="仿宋" w:hAnsi="仿宋" w:eastAsia="仿宋" w:cs="仿宋"/>
                <w:color w:val="auto"/>
                <w:highlight w:val="none"/>
              </w:rPr>
            </w:pPr>
          </w:p>
        </w:tc>
        <w:tc>
          <w:tcPr>
            <w:vAlign w:val="center"/>
          </w:tcPr>
          <w:p w14:paraId="0B14A553">
            <w:pPr>
              <w:jc w:val="center"/>
              <w:rPr>
                <w:rFonts w:hint="eastAsia" w:ascii="仿宋" w:hAnsi="仿宋" w:eastAsia="仿宋" w:cs="仿宋"/>
                <w:color w:val="auto"/>
                <w:highlight w:val="none"/>
              </w:rPr>
            </w:pPr>
          </w:p>
        </w:tc>
        <w:tc>
          <w:tcPr>
            <w:vAlign w:val="center"/>
          </w:tcPr>
          <w:p w14:paraId="38954284">
            <w:pPr>
              <w:jc w:val="center"/>
              <w:rPr>
                <w:rFonts w:hint="eastAsia" w:ascii="仿宋" w:hAnsi="仿宋" w:eastAsia="仿宋" w:cs="仿宋"/>
                <w:color w:val="auto"/>
                <w:highlight w:val="none"/>
              </w:rPr>
            </w:pPr>
          </w:p>
        </w:tc>
        <w:tc>
          <w:tcPr>
            <w:vAlign w:val="center"/>
          </w:tcPr>
          <w:p w14:paraId="25E07708">
            <w:pPr>
              <w:jc w:val="center"/>
              <w:rPr>
                <w:rFonts w:hint="eastAsia" w:ascii="仿宋" w:hAnsi="仿宋" w:eastAsia="仿宋" w:cs="仿宋"/>
                <w:color w:val="auto"/>
                <w:highlight w:val="none"/>
              </w:rPr>
            </w:pPr>
          </w:p>
        </w:tc>
      </w:tr>
      <w:tr w14:paraId="345F3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737F354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三</w:t>
            </w:r>
          </w:p>
        </w:tc>
        <w:tc>
          <w:tcPr>
            <w:vAlign w:val="center"/>
          </w:tcPr>
          <w:p w14:paraId="67C67ED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筹措活动净现金流量</w:t>
            </w:r>
          </w:p>
        </w:tc>
        <w:tc>
          <w:tcPr>
            <w:vAlign w:val="center"/>
          </w:tcPr>
          <w:p w14:paraId="520EC1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-3591.00 </w:t>
            </w:r>
          </w:p>
        </w:tc>
        <w:tc>
          <w:tcPr>
            <w:vAlign w:val="center"/>
          </w:tcPr>
          <w:p w14:paraId="05973B5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B1DDEA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053642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54DBC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6A597A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BE3F0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109545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04A7AF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6B6E0B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-5786.00</w:t>
            </w:r>
          </w:p>
        </w:tc>
        <w:tc>
          <w:tcPr>
            <w:vAlign w:val="center"/>
          </w:tcPr>
          <w:p w14:paraId="3BD6DA0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-5643.00</w:t>
            </w:r>
          </w:p>
        </w:tc>
      </w:tr>
      <w:tr w14:paraId="295C28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45AB51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245280D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现金流入</w:t>
            </w:r>
          </w:p>
        </w:tc>
        <w:tc>
          <w:tcPr>
            <w:vAlign w:val="center"/>
          </w:tcPr>
          <w:p w14:paraId="5EA89A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16000.00 </w:t>
            </w:r>
          </w:p>
        </w:tc>
        <w:tc>
          <w:tcPr>
            <w:vAlign w:val="center"/>
          </w:tcPr>
          <w:p w14:paraId="05C3AD8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2EDDA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941AA9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8709F8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67C5AD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02354B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8B7FA7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D13B7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BB646B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BE78F1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2D9B23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446F39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w:t>
            </w:r>
          </w:p>
        </w:tc>
        <w:tc>
          <w:tcPr>
            <w:vAlign w:val="center"/>
          </w:tcPr>
          <w:p w14:paraId="18D307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项目资本金投入</w:t>
            </w:r>
          </w:p>
        </w:tc>
        <w:tc>
          <w:tcPr>
            <w:vAlign w:val="center"/>
          </w:tcPr>
          <w:p w14:paraId="66D2D8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5000.00 </w:t>
            </w:r>
          </w:p>
        </w:tc>
        <w:tc>
          <w:tcPr>
            <w:vAlign w:val="center"/>
          </w:tcPr>
          <w:p w14:paraId="71B0F1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8C6903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90F0CF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4BE9B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9C858E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141E3A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35C5B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89D7E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7E0F64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CE7A6E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558B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F4C68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w:t>
            </w:r>
          </w:p>
        </w:tc>
        <w:tc>
          <w:tcPr>
            <w:vAlign w:val="center"/>
          </w:tcPr>
          <w:p w14:paraId="22C44FF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专项债券资金</w:t>
            </w:r>
          </w:p>
        </w:tc>
        <w:tc>
          <w:tcPr>
            <w:vAlign w:val="center"/>
          </w:tcPr>
          <w:p w14:paraId="5748740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11000.00 </w:t>
            </w:r>
          </w:p>
        </w:tc>
        <w:tc>
          <w:tcPr>
            <w:vAlign w:val="center"/>
          </w:tcPr>
          <w:p w14:paraId="2D311C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40476A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6C28C22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AE201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D4E556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86FC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894D54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A00CD5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1D1A77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89A7E9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04812E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0CAF6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194BF1E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现金流出</w:t>
            </w:r>
          </w:p>
        </w:tc>
        <w:tc>
          <w:tcPr>
            <w:vAlign w:val="center"/>
          </w:tcPr>
          <w:p w14:paraId="3AE788C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19591.00 </w:t>
            </w:r>
          </w:p>
        </w:tc>
        <w:tc>
          <w:tcPr>
            <w:vAlign w:val="center"/>
          </w:tcPr>
          <w:p w14:paraId="00E7F9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61F2B05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B9361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7388DA0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A7F365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AA117E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82A4D7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FF3AD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36EBED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5786.00</w:t>
            </w:r>
          </w:p>
        </w:tc>
        <w:tc>
          <w:tcPr>
            <w:vAlign w:val="center"/>
          </w:tcPr>
          <w:p w14:paraId="4CAA828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5643.00</w:t>
            </w:r>
          </w:p>
        </w:tc>
      </w:tr>
      <w:tr w14:paraId="6C651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F3B574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2.1</w:t>
            </w:r>
          </w:p>
        </w:tc>
        <w:tc>
          <w:tcPr>
            <w:vAlign w:val="center"/>
          </w:tcPr>
          <w:p w14:paraId="30494D8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支付债券利息</w:t>
            </w:r>
          </w:p>
        </w:tc>
        <w:tc>
          <w:tcPr>
            <w:vAlign w:val="center"/>
          </w:tcPr>
          <w:p w14:paraId="6C06712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8580.00 </w:t>
            </w:r>
          </w:p>
        </w:tc>
        <w:tc>
          <w:tcPr>
            <w:vAlign w:val="center"/>
          </w:tcPr>
          <w:p w14:paraId="6664729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1A80937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25B2312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068B66D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34D2528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6586F63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67C4E4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5EAB91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4AE0469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286.00</w:t>
            </w:r>
          </w:p>
        </w:tc>
        <w:tc>
          <w:tcPr>
            <w:vAlign w:val="center"/>
          </w:tcPr>
          <w:p w14:paraId="605212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143.00</w:t>
            </w:r>
          </w:p>
        </w:tc>
      </w:tr>
      <w:tr w14:paraId="201B6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23459C4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2.2</w:t>
            </w:r>
          </w:p>
        </w:tc>
        <w:tc>
          <w:tcPr>
            <w:vAlign w:val="center"/>
          </w:tcPr>
          <w:p w14:paraId="462F2E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支付债券发行费用</w:t>
            </w:r>
          </w:p>
        </w:tc>
        <w:tc>
          <w:tcPr>
            <w:vAlign w:val="center"/>
          </w:tcPr>
          <w:p w14:paraId="33CA23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 </w:t>
            </w:r>
          </w:p>
        </w:tc>
        <w:tc>
          <w:tcPr>
            <w:vAlign w:val="center"/>
          </w:tcPr>
          <w:p w14:paraId="29865F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50272D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70492E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CFC62E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FE2EE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001BE2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4F29C80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F0D346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E96B2F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575851A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r>
      <w:tr w14:paraId="1D83DB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3CC6A0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2.3</w:t>
            </w:r>
          </w:p>
        </w:tc>
        <w:tc>
          <w:tcPr>
            <w:vAlign w:val="center"/>
          </w:tcPr>
          <w:p w14:paraId="57F8498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支付专项债券本金</w:t>
            </w:r>
          </w:p>
        </w:tc>
        <w:tc>
          <w:tcPr>
            <w:vAlign w:val="center"/>
          </w:tcPr>
          <w:p w14:paraId="478ED8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11000.00 </w:t>
            </w:r>
          </w:p>
        </w:tc>
        <w:tc>
          <w:tcPr>
            <w:vAlign w:val="center"/>
          </w:tcPr>
          <w:p w14:paraId="5203DAA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2DCEB54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37F7C2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908FC1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120C50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1522E30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38A282A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7D77352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0.00</w:t>
            </w:r>
          </w:p>
        </w:tc>
        <w:tc>
          <w:tcPr>
            <w:vAlign w:val="center"/>
          </w:tcPr>
          <w:p w14:paraId="0BB0A71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5500.00</w:t>
            </w:r>
          </w:p>
        </w:tc>
        <w:tc>
          <w:tcPr>
            <w:vAlign w:val="center"/>
          </w:tcPr>
          <w:p w14:paraId="02AB81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5500.00</w:t>
            </w:r>
          </w:p>
        </w:tc>
      </w:tr>
      <w:tr w14:paraId="34201A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313A5B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四</w:t>
            </w:r>
          </w:p>
        </w:tc>
        <w:tc>
          <w:tcPr>
            <w:vAlign w:val="center"/>
          </w:tcPr>
          <w:p w14:paraId="2C2D2C3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现金流量总计</w:t>
            </w:r>
          </w:p>
        </w:tc>
        <w:tc>
          <w:tcPr>
            <w:vAlign w:val="center"/>
          </w:tcPr>
          <w:p w14:paraId="731D0D4F">
            <w:pPr>
              <w:jc w:val="center"/>
              <w:rPr>
                <w:rFonts w:hint="eastAsia" w:ascii="仿宋" w:hAnsi="仿宋" w:eastAsia="仿宋" w:cs="仿宋"/>
                <w:color w:val="auto"/>
                <w:highlight w:val="none"/>
              </w:rPr>
            </w:pPr>
          </w:p>
        </w:tc>
        <w:tc>
          <w:tcPr>
            <w:vAlign w:val="center"/>
          </w:tcPr>
          <w:p w14:paraId="3A810465">
            <w:pPr>
              <w:jc w:val="center"/>
              <w:rPr>
                <w:rFonts w:hint="eastAsia" w:ascii="仿宋" w:hAnsi="仿宋" w:eastAsia="仿宋" w:cs="仿宋"/>
                <w:color w:val="auto"/>
                <w:highlight w:val="none"/>
              </w:rPr>
            </w:pPr>
          </w:p>
        </w:tc>
        <w:tc>
          <w:tcPr>
            <w:vAlign w:val="center"/>
          </w:tcPr>
          <w:p w14:paraId="654AD63F">
            <w:pPr>
              <w:jc w:val="center"/>
              <w:rPr>
                <w:rFonts w:hint="eastAsia" w:ascii="仿宋" w:hAnsi="仿宋" w:eastAsia="仿宋" w:cs="仿宋"/>
                <w:color w:val="auto"/>
                <w:highlight w:val="none"/>
              </w:rPr>
            </w:pPr>
          </w:p>
        </w:tc>
        <w:tc>
          <w:tcPr>
            <w:vAlign w:val="center"/>
          </w:tcPr>
          <w:p w14:paraId="56FA25F0">
            <w:pPr>
              <w:jc w:val="center"/>
              <w:rPr>
                <w:rFonts w:hint="eastAsia" w:ascii="仿宋" w:hAnsi="仿宋" w:eastAsia="仿宋" w:cs="仿宋"/>
                <w:color w:val="auto"/>
                <w:highlight w:val="none"/>
              </w:rPr>
            </w:pPr>
          </w:p>
        </w:tc>
        <w:tc>
          <w:tcPr>
            <w:vAlign w:val="center"/>
          </w:tcPr>
          <w:p w14:paraId="6C712736">
            <w:pPr>
              <w:jc w:val="center"/>
              <w:rPr>
                <w:rFonts w:hint="eastAsia" w:ascii="仿宋" w:hAnsi="仿宋" w:eastAsia="仿宋" w:cs="仿宋"/>
                <w:color w:val="auto"/>
                <w:highlight w:val="none"/>
              </w:rPr>
            </w:pPr>
          </w:p>
        </w:tc>
        <w:tc>
          <w:tcPr>
            <w:vAlign w:val="center"/>
          </w:tcPr>
          <w:p w14:paraId="0F9F7597">
            <w:pPr>
              <w:jc w:val="center"/>
              <w:rPr>
                <w:rFonts w:hint="eastAsia" w:ascii="仿宋" w:hAnsi="仿宋" w:eastAsia="仿宋" w:cs="仿宋"/>
                <w:color w:val="auto"/>
                <w:highlight w:val="none"/>
              </w:rPr>
            </w:pPr>
          </w:p>
        </w:tc>
        <w:tc>
          <w:tcPr>
            <w:vAlign w:val="center"/>
          </w:tcPr>
          <w:p w14:paraId="0A03D195">
            <w:pPr>
              <w:jc w:val="center"/>
              <w:rPr>
                <w:rFonts w:hint="eastAsia" w:ascii="仿宋" w:hAnsi="仿宋" w:eastAsia="仿宋" w:cs="仿宋"/>
                <w:color w:val="auto"/>
                <w:highlight w:val="none"/>
              </w:rPr>
            </w:pPr>
          </w:p>
        </w:tc>
        <w:tc>
          <w:tcPr>
            <w:vAlign w:val="center"/>
          </w:tcPr>
          <w:p w14:paraId="1BEB25D1">
            <w:pPr>
              <w:jc w:val="center"/>
              <w:rPr>
                <w:rFonts w:hint="eastAsia" w:ascii="仿宋" w:hAnsi="仿宋" w:eastAsia="仿宋" w:cs="仿宋"/>
                <w:color w:val="auto"/>
                <w:highlight w:val="none"/>
              </w:rPr>
            </w:pPr>
          </w:p>
        </w:tc>
        <w:tc>
          <w:tcPr>
            <w:vAlign w:val="center"/>
          </w:tcPr>
          <w:p w14:paraId="5D60B288">
            <w:pPr>
              <w:jc w:val="center"/>
              <w:rPr>
                <w:rFonts w:hint="eastAsia" w:ascii="仿宋" w:hAnsi="仿宋" w:eastAsia="仿宋" w:cs="仿宋"/>
                <w:color w:val="auto"/>
                <w:highlight w:val="none"/>
              </w:rPr>
            </w:pPr>
          </w:p>
        </w:tc>
        <w:tc>
          <w:tcPr>
            <w:vAlign w:val="center"/>
          </w:tcPr>
          <w:p w14:paraId="27949CE7">
            <w:pPr>
              <w:jc w:val="center"/>
              <w:rPr>
                <w:rFonts w:hint="eastAsia" w:ascii="仿宋" w:hAnsi="仿宋" w:eastAsia="仿宋" w:cs="仿宋"/>
                <w:color w:val="auto"/>
                <w:highlight w:val="none"/>
              </w:rPr>
            </w:pPr>
          </w:p>
        </w:tc>
        <w:tc>
          <w:tcPr>
            <w:vAlign w:val="center"/>
          </w:tcPr>
          <w:p w14:paraId="4EE6E705">
            <w:pPr>
              <w:jc w:val="center"/>
              <w:rPr>
                <w:rFonts w:hint="eastAsia" w:ascii="仿宋" w:hAnsi="仿宋" w:eastAsia="仿宋" w:cs="仿宋"/>
                <w:color w:val="auto"/>
                <w:highlight w:val="none"/>
              </w:rPr>
            </w:pPr>
          </w:p>
        </w:tc>
      </w:tr>
      <w:tr w14:paraId="59C31E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6C16650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w:t>
            </w:r>
          </w:p>
        </w:tc>
        <w:tc>
          <w:tcPr>
            <w:vAlign w:val="center"/>
          </w:tcPr>
          <w:p w14:paraId="4D95895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项目期的期初资金</w:t>
            </w:r>
          </w:p>
        </w:tc>
        <w:tc>
          <w:tcPr>
            <w:vAlign w:val="center"/>
          </w:tcPr>
          <w:p w14:paraId="0661C3DB">
            <w:pPr>
              <w:jc w:val="center"/>
              <w:rPr>
                <w:rFonts w:hint="eastAsia" w:ascii="仿宋" w:hAnsi="仿宋" w:eastAsia="仿宋" w:cs="仿宋"/>
                <w:color w:val="auto"/>
                <w:highlight w:val="none"/>
              </w:rPr>
            </w:pPr>
          </w:p>
        </w:tc>
        <w:tc>
          <w:tcPr>
            <w:vAlign w:val="center"/>
          </w:tcPr>
          <w:p w14:paraId="31B36FC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8609.96</w:t>
            </w:r>
          </w:p>
        </w:tc>
        <w:tc>
          <w:tcPr>
            <w:vAlign w:val="center"/>
          </w:tcPr>
          <w:p w14:paraId="5375A3F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9089.13</w:t>
            </w:r>
          </w:p>
        </w:tc>
        <w:tc>
          <w:tcPr>
            <w:vAlign w:val="center"/>
          </w:tcPr>
          <w:p w14:paraId="30459E5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9568.30</w:t>
            </w:r>
          </w:p>
        </w:tc>
        <w:tc>
          <w:tcPr>
            <w:vAlign w:val="center"/>
          </w:tcPr>
          <w:p w14:paraId="085EE9C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10070.69</w:t>
            </w:r>
          </w:p>
        </w:tc>
        <w:tc>
          <w:tcPr>
            <w:vAlign w:val="center"/>
          </w:tcPr>
          <w:p w14:paraId="095A877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10573.09</w:t>
            </w:r>
          </w:p>
        </w:tc>
        <w:tc>
          <w:tcPr>
            <w:vAlign w:val="center"/>
          </w:tcPr>
          <w:p w14:paraId="04E8439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11075.49</w:t>
            </w:r>
          </w:p>
        </w:tc>
        <w:tc>
          <w:tcPr>
            <w:vAlign w:val="center"/>
          </w:tcPr>
          <w:p w14:paraId="5FBB59A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11602.02</w:t>
            </w:r>
          </w:p>
        </w:tc>
        <w:tc>
          <w:tcPr>
            <w:vAlign w:val="center"/>
          </w:tcPr>
          <w:p w14:paraId="5226AD5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12128.55</w:t>
            </w:r>
          </w:p>
        </w:tc>
        <w:tc>
          <w:tcPr>
            <w:vAlign w:val="center"/>
          </w:tcPr>
          <w:p w14:paraId="2E898F1A">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12655.08</w:t>
            </w:r>
          </w:p>
        </w:tc>
        <w:tc>
          <w:tcPr>
            <w:vAlign w:val="center"/>
          </w:tcPr>
          <w:p w14:paraId="3ABB0B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7706.70</w:t>
            </w:r>
          </w:p>
        </w:tc>
      </w:tr>
      <w:tr w14:paraId="02E4F9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0F3B27C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w:t>
            </w:r>
          </w:p>
        </w:tc>
        <w:tc>
          <w:tcPr>
            <w:vAlign w:val="center"/>
          </w:tcPr>
          <w:p w14:paraId="1DAD50C7">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项目期内现金变动（一+二+三）</w:t>
            </w:r>
          </w:p>
        </w:tc>
        <w:tc>
          <w:tcPr>
            <w:vAlign w:val="center"/>
          </w:tcPr>
          <w:p w14:paraId="3522732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 xml:space="preserve">2865.57 </w:t>
            </w:r>
          </w:p>
        </w:tc>
        <w:tc>
          <w:tcPr>
            <w:vAlign w:val="center"/>
          </w:tcPr>
          <w:p w14:paraId="1013563B">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479.17</w:t>
            </w:r>
          </w:p>
        </w:tc>
        <w:tc>
          <w:tcPr>
            <w:vAlign w:val="center"/>
          </w:tcPr>
          <w:p w14:paraId="23C9271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479.17</w:t>
            </w:r>
          </w:p>
        </w:tc>
        <w:tc>
          <w:tcPr>
            <w:vAlign w:val="center"/>
          </w:tcPr>
          <w:p w14:paraId="48FD98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502.40</w:t>
            </w:r>
          </w:p>
        </w:tc>
        <w:tc>
          <w:tcPr>
            <w:vAlign w:val="center"/>
          </w:tcPr>
          <w:p w14:paraId="3FBB45B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502.40</w:t>
            </w:r>
          </w:p>
        </w:tc>
        <w:tc>
          <w:tcPr>
            <w:vAlign w:val="center"/>
          </w:tcPr>
          <w:p w14:paraId="3361B860">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502.40</w:t>
            </w:r>
          </w:p>
        </w:tc>
        <w:tc>
          <w:tcPr>
            <w:vAlign w:val="center"/>
          </w:tcPr>
          <w:p w14:paraId="0BAAF806">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526.53</w:t>
            </w:r>
          </w:p>
        </w:tc>
        <w:tc>
          <w:tcPr>
            <w:vAlign w:val="center"/>
          </w:tcPr>
          <w:p w14:paraId="0FFBE681">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526.53</w:t>
            </w:r>
          </w:p>
        </w:tc>
        <w:tc>
          <w:tcPr>
            <w:vAlign w:val="center"/>
          </w:tcPr>
          <w:p w14:paraId="7FA9BC4D">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526.53</w:t>
            </w:r>
          </w:p>
        </w:tc>
        <w:tc>
          <w:tcPr>
            <w:vAlign w:val="center"/>
          </w:tcPr>
          <w:p w14:paraId="10518DE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-4948.38</w:t>
            </w:r>
          </w:p>
        </w:tc>
        <w:tc>
          <w:tcPr>
            <w:vAlign w:val="center"/>
          </w:tcPr>
          <w:p w14:paraId="653B45E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-4841.13</w:t>
            </w:r>
          </w:p>
        </w:tc>
      </w:tr>
      <w:tr w14:paraId="1F001F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16" w:hRule="atLeast"/>
          <w:jc w:val="center"/>
        </w:trPr>
        <w:tc>
          <w:tcPr>
            <w:vAlign w:val="center"/>
          </w:tcPr>
          <w:p w14:paraId="1A406A0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3</w:t>
            </w:r>
          </w:p>
        </w:tc>
        <w:tc>
          <w:tcPr>
            <w:vAlign w:val="center"/>
          </w:tcPr>
          <w:p w14:paraId="3DF0247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项目期的期末资金</w:t>
            </w:r>
          </w:p>
        </w:tc>
        <w:tc>
          <w:tcPr>
            <w:vAlign w:val="center"/>
          </w:tcPr>
          <w:p w14:paraId="061ABC54">
            <w:pPr>
              <w:jc w:val="center"/>
              <w:rPr>
                <w:rFonts w:hint="eastAsia" w:ascii="仿宋" w:hAnsi="仿宋" w:eastAsia="仿宋" w:cs="仿宋"/>
                <w:color w:val="auto"/>
                <w:highlight w:val="none"/>
              </w:rPr>
            </w:pPr>
          </w:p>
        </w:tc>
        <w:tc>
          <w:tcPr>
            <w:vAlign w:val="center"/>
          </w:tcPr>
          <w:p w14:paraId="01CFC1B4">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9089.13</w:t>
            </w:r>
          </w:p>
        </w:tc>
        <w:tc>
          <w:tcPr>
            <w:vAlign w:val="center"/>
          </w:tcPr>
          <w:p w14:paraId="4CB8B503">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9568.30</w:t>
            </w:r>
          </w:p>
        </w:tc>
        <w:tc>
          <w:tcPr>
            <w:vAlign w:val="center"/>
          </w:tcPr>
          <w:p w14:paraId="795FE5D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10070.69</w:t>
            </w:r>
          </w:p>
        </w:tc>
        <w:tc>
          <w:tcPr>
            <w:vAlign w:val="center"/>
          </w:tcPr>
          <w:p w14:paraId="6AE8367C">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10573.09</w:t>
            </w:r>
          </w:p>
        </w:tc>
        <w:tc>
          <w:tcPr>
            <w:vAlign w:val="center"/>
          </w:tcPr>
          <w:p w14:paraId="5FAC0E6E">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11075.49</w:t>
            </w:r>
          </w:p>
        </w:tc>
        <w:tc>
          <w:tcPr>
            <w:vAlign w:val="center"/>
          </w:tcPr>
          <w:p w14:paraId="69C526DF">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11602.02</w:t>
            </w:r>
          </w:p>
        </w:tc>
        <w:tc>
          <w:tcPr>
            <w:vAlign w:val="center"/>
          </w:tcPr>
          <w:p w14:paraId="2B7019E9">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12128.55</w:t>
            </w:r>
          </w:p>
        </w:tc>
        <w:tc>
          <w:tcPr>
            <w:vAlign w:val="center"/>
          </w:tcPr>
          <w:p w14:paraId="29E656C2">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12655.08</w:t>
            </w:r>
          </w:p>
        </w:tc>
        <w:tc>
          <w:tcPr>
            <w:vAlign w:val="center"/>
          </w:tcPr>
          <w:p w14:paraId="115F0AA5">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7706.70</w:t>
            </w:r>
          </w:p>
        </w:tc>
        <w:tc>
          <w:tcPr>
            <w:vAlign w:val="center"/>
          </w:tcPr>
          <w:p w14:paraId="63C34EA8">
            <w:pPr>
              <w:jc w:val="center"/>
              <w:rPr>
                <w:rFonts w:hint="eastAsia" w:ascii="仿宋" w:hAnsi="仿宋" w:eastAsia="仿宋" w:cs="仿宋"/>
                <w:color w:val="auto"/>
                <w:highlight w:val="none"/>
              </w:rPr>
            </w:pPr>
            <w:r>
              <w:rPr>
                <w:rFonts w:hint="eastAsia" w:ascii="仿宋" w:hAnsi="仿宋" w:eastAsia="仿宋" w:cs="仿宋"/>
                <w:color w:val="auto"/>
                <w:sz w:val="16"/>
                <w:highlight w:val="none"/>
              </w:rPr>
              <w:t>2865.57</w:t>
            </w:r>
          </w:p>
        </w:tc>
      </w:tr>
    </w:tbl>
    <w:p w14:paraId="5E083277">
      <w:pPr>
        <w:jc w:val="right"/>
        <w:rPr>
          <w:rFonts w:hint="eastAsia" w:ascii="仿宋" w:hAnsi="仿宋" w:eastAsia="仿宋" w:cs="仿宋"/>
          <w:b/>
          <w:bCs/>
          <w:color w:val="auto"/>
          <w:sz w:val="28"/>
          <w:szCs w:val="28"/>
          <w:highlight w:val="none"/>
          <w:lang w:val="en-US" w:eastAsia="zh-CN"/>
        </w:rPr>
      </w:pPr>
    </w:p>
    <w:p w14:paraId="11603BE1">
      <w:pPr>
        <w:pStyle w:val="4"/>
        <w:jc w:val="both"/>
        <w:rPr>
          <w:rFonts w:hint="eastAsia" w:ascii="仿宋" w:hAnsi="仿宋" w:eastAsia="仿宋" w:cs="仿宋"/>
          <w:color w:val="auto"/>
          <w:highlight w:val="none"/>
          <w:lang w:val="en-US" w:eastAsia="zh-CN"/>
        </w:rPr>
        <w:sectPr>
          <w:pgSz w:w="16838" w:h="11906" w:orient="landscape"/>
          <w:pgMar w:top="720" w:right="720" w:bottom="720" w:left="720" w:header="851" w:footer="992" w:gutter="0"/>
          <w:pgNumType w:fmt="decimal"/>
          <w:cols w:space="720" w:num="1"/>
          <w:docGrid w:type="lines" w:linePitch="381" w:charSpace="0"/>
        </w:sectPr>
      </w:pPr>
    </w:p>
    <w:p w14:paraId="4BB7D873">
      <w:pPr>
        <w:adjustRightInd/>
        <w:snapToGrid/>
        <w:spacing w:line="560" w:lineRule="exact"/>
        <w:ind w:firstLine="64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五、项目绩效目标</w:t>
      </w:r>
    </w:p>
    <w:p w14:paraId="0CF8E3F5">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1、项目总体建设目标</w:t>
      </w:r>
    </w:p>
    <w:p w14:paraId="18D46055">
      <w:pPr>
        <w:pStyle w:val="13"/>
        <w:bidi w:val="0"/>
        <w:rPr>
          <w:rFonts w:hint="eastAsia" w:ascii="仿宋" w:hAnsi="仿宋" w:eastAsia="仿宋" w:cs="仿宋"/>
          <w:color w:val="auto"/>
          <w:highlight w:val="none"/>
          <w:lang w:eastAsia="zh-CN"/>
        </w:rPr>
      </w:pPr>
      <w:r>
        <w:rPr>
          <w:rFonts w:hint="eastAsia" w:ascii="仿宋" w:hAnsi="仿宋" w:eastAsia="仿宋" w:cs="仿宋"/>
          <w:color w:val="auto"/>
          <w:highlight w:val="none"/>
        </w:rPr>
        <w:t>1、完成定制化厂房建设36000平方米；</w:t>
      </w:r>
    </w:p>
    <w:p w14:paraId="3FCA5402">
      <w:pPr>
        <w:pStyle w:val="13"/>
        <w:bidi w:val="0"/>
        <w:rPr>
          <w:rFonts w:hint="eastAsia" w:ascii="仿宋" w:hAnsi="仿宋" w:eastAsia="仿宋" w:cs="仿宋"/>
          <w:color w:val="auto"/>
          <w:highlight w:val="none"/>
          <w:lang w:eastAsia="zh-CN"/>
        </w:rPr>
      </w:pPr>
      <w:r>
        <w:rPr>
          <w:rFonts w:hint="eastAsia" w:ascii="仿宋" w:hAnsi="仿宋" w:eastAsia="仿宋" w:cs="仿宋"/>
          <w:color w:val="auto"/>
          <w:highlight w:val="none"/>
        </w:rPr>
        <w:t>2、完成停车场建设10000平方米；</w:t>
      </w:r>
    </w:p>
    <w:p w14:paraId="60767DC7">
      <w:pPr>
        <w:pStyle w:val="13"/>
        <w:bidi w:val="0"/>
        <w:rPr>
          <w:rFonts w:hint="eastAsia" w:ascii="仿宋" w:hAnsi="仿宋" w:eastAsia="仿宋" w:cs="仿宋"/>
          <w:color w:val="auto"/>
          <w:highlight w:val="none"/>
          <w:lang w:eastAsia="zh-CN"/>
        </w:rPr>
      </w:pPr>
      <w:r>
        <w:rPr>
          <w:rFonts w:hint="eastAsia" w:ascii="仿宋" w:hAnsi="仿宋" w:eastAsia="仿宋" w:cs="仿宋"/>
          <w:color w:val="auto"/>
          <w:highlight w:val="none"/>
        </w:rPr>
        <w:t>3、完成充电桩建设90套；</w:t>
      </w:r>
    </w:p>
    <w:p w14:paraId="7B61C8C2">
      <w:pPr>
        <w:pStyle w:val="13"/>
        <w:bidi w:val="0"/>
        <w:rPr>
          <w:rFonts w:hint="eastAsia" w:ascii="仿宋" w:hAnsi="仿宋" w:eastAsia="仿宋" w:cs="仿宋"/>
          <w:color w:val="auto"/>
          <w:highlight w:val="none"/>
          <w:lang w:eastAsia="zh-CN"/>
        </w:rPr>
      </w:pPr>
      <w:r>
        <w:rPr>
          <w:rFonts w:hint="eastAsia" w:ascii="仿宋" w:hAnsi="仿宋" w:eastAsia="仿宋" w:cs="仿宋"/>
          <w:color w:val="auto"/>
          <w:highlight w:val="none"/>
        </w:rPr>
        <w:t>4、完成园区管理系统、园区道路、综合管网、消防安防等附属设施建设1项；</w:t>
      </w:r>
    </w:p>
    <w:p w14:paraId="47048159">
      <w:pPr>
        <w:pStyle w:val="13"/>
        <w:bidi w:val="0"/>
        <w:rPr>
          <w:rFonts w:hint="eastAsia" w:ascii="仿宋" w:hAnsi="仿宋" w:eastAsia="仿宋" w:cs="仿宋"/>
          <w:color w:val="auto"/>
          <w:highlight w:val="none"/>
          <w:lang w:eastAsia="zh-CN"/>
        </w:rPr>
      </w:pPr>
      <w:r>
        <w:rPr>
          <w:rFonts w:hint="eastAsia" w:ascii="仿宋" w:hAnsi="仿宋" w:eastAsia="仿宋" w:cs="仿宋"/>
          <w:color w:val="auto"/>
          <w:highlight w:val="none"/>
        </w:rPr>
        <w:t>5、按时开工，完成实物工作量；</w:t>
      </w:r>
    </w:p>
    <w:p w14:paraId="4A8F5C1E">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6、按时竣工，交付使用，实现新材料研究领域的可持续发展。</w:t>
      </w:r>
    </w:p>
    <w:p w14:paraId="35F2AF18">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2、202</w:t>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lang w:val="en-US" w:eastAsia="zh-CN"/>
        </w:rPr>
        <w:t>年度目标</w:t>
      </w:r>
    </w:p>
    <w:p w14:paraId="7AFD7A03">
      <w:pPr>
        <w:pStyle w:val="13"/>
        <w:bidi w:val="0"/>
        <w:rPr>
          <w:rFonts w:hint="eastAsia" w:ascii="仿宋" w:hAnsi="仿宋" w:eastAsia="仿宋" w:cs="仿宋"/>
          <w:color w:val="auto"/>
          <w:highlight w:val="none"/>
          <w:lang w:eastAsia="zh-CN"/>
        </w:rPr>
      </w:pPr>
      <w:r>
        <w:rPr>
          <w:rFonts w:hint="eastAsia" w:ascii="仿宋" w:hAnsi="仿宋" w:eastAsia="仿宋" w:cs="仿宋"/>
          <w:color w:val="auto"/>
          <w:highlight w:val="none"/>
        </w:rPr>
        <w:t>1、完成定制化厂房建设36000平方米；</w:t>
      </w:r>
    </w:p>
    <w:p w14:paraId="32CB76BA">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2、按时开工，完成年度工作任务。</w:t>
      </w:r>
    </w:p>
    <w:p w14:paraId="3D8C1531">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3、质量指标</w:t>
      </w:r>
    </w:p>
    <w:p w14:paraId="0A649B3E">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指标1：验收合格率--≥95%</w:t>
      </w:r>
    </w:p>
    <w:p w14:paraId="74050A2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指标2：项目设计方案变更率--≤5%</w:t>
      </w:r>
    </w:p>
    <w:p w14:paraId="72BEA9A4">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4、经济效益指标</w:t>
      </w:r>
    </w:p>
    <w:p w14:paraId="72E91E8C">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指标1：项目总收入--≥</w:t>
      </w:r>
      <w:r>
        <w:rPr>
          <w:rFonts w:hint="eastAsia" w:ascii="仿宋" w:hAnsi="仿宋" w:eastAsia="仿宋" w:cs="仿宋"/>
          <w:color w:val="auto"/>
          <w:highlight w:val="none"/>
          <w:lang w:val="en-US" w:eastAsia="zh-CN"/>
        </w:rPr>
        <w:t>31530.21</w:t>
      </w:r>
      <w:r>
        <w:rPr>
          <w:rFonts w:hint="eastAsia" w:ascii="仿宋" w:hAnsi="仿宋" w:eastAsia="仿宋" w:cs="仿宋"/>
          <w:color w:val="auto"/>
          <w:highlight w:val="none"/>
          <w:lang w:val="en-US" w:eastAsia="zh-CN"/>
        </w:rPr>
        <w:t>万元</w:t>
      </w:r>
    </w:p>
    <w:p w14:paraId="0B90DD3B">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指标2：区域经济带动--达成预期目标</w:t>
      </w:r>
    </w:p>
    <w:p w14:paraId="6275A3AD">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指标3：农村人均居民可支配收入--≥25%</w:t>
      </w:r>
    </w:p>
    <w:p w14:paraId="516AA2A2">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5、社会效益指标</w:t>
      </w:r>
    </w:p>
    <w:p w14:paraId="4E0885D2">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指标1：提升社会稳定值--达成预期目标</w:t>
      </w:r>
    </w:p>
    <w:p w14:paraId="67F514B5">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指标2：带动就业人数--≥200人次</w:t>
      </w:r>
    </w:p>
    <w:p w14:paraId="09263C2A">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指标3：群众获得感--达成预期目标</w:t>
      </w:r>
    </w:p>
    <w:p w14:paraId="34F83009">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6、生态效益指标</w:t>
      </w:r>
    </w:p>
    <w:p w14:paraId="66DF34A6">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指标1：人居环境改善--达成预期目标</w:t>
      </w:r>
    </w:p>
    <w:p w14:paraId="50B62B9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指标2：生活生产活动造成的环境影响--降低</w:t>
      </w:r>
    </w:p>
    <w:p w14:paraId="54D60C38">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lang w:val="en-US" w:eastAsia="zh-CN"/>
        </w:rPr>
        <w:t>可持续影响指标</w:t>
      </w:r>
    </w:p>
    <w:p w14:paraId="03E8694B">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指标1：运营期限≧20年</w:t>
      </w:r>
    </w:p>
    <w:p w14:paraId="22B04472">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指标2：推动区域全面协调发展--达成预期目标</w:t>
      </w:r>
    </w:p>
    <w:p w14:paraId="10931763">
      <w:pPr>
        <w:pStyle w:val="13"/>
        <w:bidi w:val="0"/>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指标3：推动乡村振兴建设--达成预期目标</w:t>
      </w:r>
    </w:p>
    <w:p w14:paraId="7D232893">
      <w:pPr>
        <w:adjustRightInd/>
        <w:snapToGrid/>
        <w:spacing w:line="560" w:lineRule="exact"/>
        <w:ind w:firstLine="640"/>
        <w:outlineLvl w:val="0"/>
        <w:rPr>
          <w:rFonts w:hint="eastAsia" w:ascii="仿宋" w:hAnsi="仿宋" w:eastAsia="仿宋" w:cs="仿宋"/>
          <w:color w:val="auto"/>
          <w:sz w:val="28"/>
          <w:szCs w:val="32"/>
          <w:highlight w:val="none"/>
        </w:rPr>
      </w:pPr>
      <w:r>
        <w:rPr>
          <w:rFonts w:hint="eastAsia" w:ascii="仿宋" w:hAnsi="仿宋" w:eastAsia="仿宋" w:cs="仿宋"/>
          <w:color w:val="auto"/>
          <w:sz w:val="32"/>
          <w:szCs w:val="32"/>
          <w:highlight w:val="none"/>
        </w:rPr>
        <w:t>六、潜在影响项目的风险评估</w:t>
      </w:r>
    </w:p>
    <w:p w14:paraId="77FB35F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bookmarkStart w:id="82" w:name="_Toc15343"/>
      <w:bookmarkStart w:id="83" w:name="_Toc522211123"/>
      <w:r>
        <w:rPr>
          <w:rFonts w:hint="eastAsia" w:ascii="仿宋" w:hAnsi="仿宋" w:eastAsia="仿宋" w:cs="仿宋"/>
          <w:color w:val="auto"/>
          <w:sz w:val="28"/>
          <w:szCs w:val="28"/>
          <w:highlight w:val="none"/>
          <w:lang w:val="en-US" w:eastAsia="zh-CN"/>
        </w:rPr>
        <w:t>1.经营风险</w:t>
      </w:r>
      <w:bookmarkEnd w:id="82"/>
      <w:bookmarkEnd w:id="83"/>
    </w:p>
    <w:p w14:paraId="5B9097C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风险识别：经营风险是指生产经营的不确定性带来的风险。若项目投入运营后的收入未能达到预测值，将影响项目整体收益，对债券还本付息产生影响。</w:t>
      </w:r>
    </w:p>
    <w:p w14:paraId="0F2737A6">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风险控制措施：要求项目管理单位密切关注各项单价的收取情况，根据实际调整运营成本及业务体系，保证还本付息资金。</w:t>
      </w:r>
      <w:bookmarkStart w:id="84" w:name="_Toc4440"/>
      <w:bookmarkStart w:id="85" w:name="_Toc522211124"/>
    </w:p>
    <w:p w14:paraId="3FA5966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2.市场风险</w:t>
      </w:r>
      <w:bookmarkEnd w:id="84"/>
      <w:bookmarkEnd w:id="85"/>
    </w:p>
    <w:p w14:paraId="63C0021D">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在专项债券存续期内，国际、国内宏观经济环境的变化，国家经济政策变动等因素会引起债务资本市场利率的波动，市场利率波动将会对本项目的财务成本产生一定影响，进而影响项目投资收益的平衡。</w:t>
      </w:r>
    </w:p>
    <w:p w14:paraId="626F8F9D">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风险控制措施：要求项目单位合理安排债券发行金额和债券期限，做好债券的期限配比、还款计划和资金准备。</w:t>
      </w:r>
    </w:p>
    <w:p w14:paraId="671D88E4">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bookmarkStart w:id="86" w:name="_Toc15747"/>
      <w:bookmarkStart w:id="87" w:name="_Toc522211125"/>
      <w:r>
        <w:rPr>
          <w:rFonts w:hint="eastAsia" w:ascii="仿宋" w:hAnsi="仿宋" w:eastAsia="仿宋" w:cs="仿宋"/>
          <w:color w:val="auto"/>
          <w:sz w:val="28"/>
          <w:szCs w:val="28"/>
          <w:highlight w:val="none"/>
          <w:lang w:val="en-US" w:eastAsia="zh-CN"/>
        </w:rPr>
        <w:t>3.财务风险</w:t>
      </w:r>
      <w:bookmarkEnd w:id="86"/>
      <w:bookmarkEnd w:id="87"/>
    </w:p>
    <w:p w14:paraId="4CDDDF73">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识别：由于项目建设周期较长，如果在项目建设过程中，受市场因素影响，项目施工所需的原材料价格上涨，将导致项目施工成本增加，财务负担加重，进而影响项目建设进度，以及项目建设期内专项债券的利息兑付，因此面临一定财务风险。</w:t>
      </w:r>
    </w:p>
    <w:p w14:paraId="72D94EF8">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风险控制措施：项目可行性研究报告编制过程中，在测算项目总投资时已考虑相关风险。同时，在项目建设过程中，加强项目施工预算管理、招标及合同管理，尽可能控制建设成本。</w:t>
      </w:r>
    </w:p>
    <w:p w14:paraId="302660CD">
      <w:pPr>
        <w:adjustRightInd/>
        <w:snapToGrid/>
        <w:spacing w:line="560" w:lineRule="exact"/>
        <w:ind w:firstLine="64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七、还款保障情况</w:t>
      </w:r>
    </w:p>
    <w:p w14:paraId="1E36F91F">
      <w:pPr>
        <w:spacing w:beforeLines="50" w:afterLines="50" w:line="360" w:lineRule="auto"/>
        <w:ind w:firstLine="560" w:firstLineChars="200"/>
        <w:jc w:val="both"/>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按照《国务院办公厅关于印发地方政府性债务风险应急处置预案的通知》（国办函〔2016〕88号）、《财政部关于印发&lt;地方政府专项债务预算管理办法&gt;的通知》（财预〔2016〕155号）规定，及时按照转贷协议约定逐级向省财政缴纳本级应当承担的专项债还本付息资金，由省财政按照合同约定及时偿还专项债券到期本息。如专项债偿债出现困难，将通过调减投资计划、处置可变现资产、调整预算支出结构等方式筹集资金偿还债务。未按时足额向省财政缴纳专项债券还本付息资金的，省财政采取适当方式扣回。</w:t>
      </w:r>
    </w:p>
    <w:p w14:paraId="4060EBE5">
      <w:pPr>
        <w:adjustRightInd/>
        <w:snapToGrid/>
        <w:spacing w:line="560" w:lineRule="exact"/>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八、主管部门</w:t>
      </w:r>
      <w:r>
        <w:rPr>
          <w:rFonts w:hint="eastAsia" w:ascii="仿宋" w:hAnsi="仿宋" w:eastAsia="仿宋" w:cs="仿宋"/>
          <w:color w:val="auto"/>
          <w:sz w:val="32"/>
          <w:szCs w:val="32"/>
          <w:highlight w:val="none"/>
          <w:lang w:val="en-US" w:eastAsia="zh-CN"/>
        </w:rPr>
        <w:t>和</w:t>
      </w:r>
      <w:r>
        <w:rPr>
          <w:rFonts w:hint="eastAsia" w:ascii="仿宋" w:hAnsi="仿宋" w:eastAsia="仿宋" w:cs="仿宋"/>
          <w:color w:val="auto"/>
          <w:sz w:val="32"/>
          <w:szCs w:val="32"/>
          <w:highlight w:val="none"/>
        </w:rPr>
        <w:t>项目单位职责</w:t>
      </w:r>
    </w:p>
    <w:p w14:paraId="2F8C8C9B">
      <w:pPr>
        <w:spacing w:beforeLines="50" w:afterLines="50" w:line="360" w:lineRule="auto"/>
        <w:ind w:firstLine="562" w:firstLineChars="200"/>
        <w:jc w:val="both"/>
        <w:outlineLvl w:val="9"/>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bCs/>
          <w:color w:val="auto"/>
          <w:sz w:val="28"/>
          <w:szCs w:val="28"/>
          <w:highlight w:val="none"/>
          <w:u w:val="single"/>
          <w:lang w:val="en-US" w:eastAsia="zh-CN"/>
        </w:rPr>
        <w:t>雅安市经开区化工园区承载能力提升基础设施建设项目的主管部门为雅安市经济和信息化局</w:t>
      </w:r>
      <w:r>
        <w:rPr>
          <w:rFonts w:hint="eastAsia" w:ascii="仿宋" w:hAnsi="仿宋" w:eastAsia="仿宋" w:cs="仿宋"/>
          <w:b w:val="0"/>
          <w:bCs w:val="0"/>
          <w:color w:val="auto"/>
          <w:sz w:val="28"/>
          <w:szCs w:val="28"/>
          <w:highlight w:val="none"/>
          <w:u w:val="none"/>
          <w:lang w:val="en-US" w:eastAsia="zh-CN"/>
        </w:rPr>
        <w:t>，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各类项目收益专项债券对应项目形成的资产纳入国有资产管理，建立相应的资产登记和统计报告制度，加强资产日常统计和动态监控。</w:t>
      </w:r>
    </w:p>
    <w:p w14:paraId="0F556007">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u w:val="single"/>
          <w:lang w:val="en-US" w:eastAsia="zh-CN"/>
        </w:rPr>
        <w:t>本项目的项目单位为雅安经开区汇达管理服务有限公司</w:t>
      </w:r>
      <w:r>
        <w:rPr>
          <w:rFonts w:hint="eastAsia" w:ascii="仿宋" w:hAnsi="仿宋" w:eastAsia="仿宋" w:cs="仿宋"/>
          <w:b/>
          <w:bCs/>
          <w:color w:val="auto"/>
          <w:sz w:val="28"/>
          <w:szCs w:val="28"/>
          <w:highlight w:val="none"/>
          <w:u w:val="none"/>
          <w:lang w:val="en-US" w:eastAsia="zh-CN"/>
        </w:rPr>
        <w:t>，项目的实施运营管理工作由雅安经开区汇达管理服务有限公司</w:t>
      </w:r>
      <w:r>
        <w:rPr>
          <w:rFonts w:hint="eastAsia" w:ascii="仿宋" w:hAnsi="仿宋" w:eastAsia="仿宋" w:cs="仿宋"/>
          <w:color w:val="auto"/>
          <w:sz w:val="28"/>
          <w:szCs w:val="28"/>
          <w:highlight w:val="none"/>
          <w:lang w:val="en-US" w:eastAsia="zh-CN"/>
        </w:rPr>
        <w:t>选择具有资质的国有平台公司负责，保障项目资产在债券存续期内均能得到有效的使用和管理，发挥项目应有的公益性和经济性，按预期实现项目收益，保障专项债的还本付息。运营期资金实行统一管理，由财务单独立帐、核算，资金使用严格按计划进行，并接受上级有关部门的监督和检查。项目单位强化企业管理，创建现代化管理模式，从细节上规范、约束企业，使企业的管理体制逐步走上科学化的轨道，创造较好的企业效益和社会效益。从管理、技术、安全、生产等四个方面细化业务流程和标准，量化考核指标。通过推行精、准的规范和加强细、严的控制，运用科学管理方法和科技手段，全面推进项目规范化管理升级。运营单位认真分析有关单价变化的政策，不断挖掘项目自身的开发潜力，有效规避市场风险。抓好经营工作，实现互利共赢和取得良好的经济效益。项目单位做好记账、核算等基础工作，正确、及时、全面、真实地反映企业的经济活动，财产资金变化、成本费用开支和经营成果。通过建立和健全各种手续制度，如实反映资金活动的情况，按期进行财产清查，做到账账相符、账实相符。通过会计信息，不断改善经营管理，促进企业合理使用资金，降低费用水平，提高经济效益。</w:t>
      </w:r>
    </w:p>
    <w:p w14:paraId="6966477C">
      <w:pPr>
        <w:adjustRightInd/>
        <w:snapToGrid/>
        <w:spacing w:line="560" w:lineRule="exact"/>
        <w:ind w:firstLine="640"/>
        <w:outlineLvl w:val="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补充说明</w:t>
      </w:r>
    </w:p>
    <w:p w14:paraId="467B818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根据发行计划及额度安排,此项目2026年拟申请发行5500.00万元，本次拟发行5500.00万元，期限30年。</w:t>
      </w:r>
    </w:p>
    <w:p w14:paraId="1AABBD9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p>
    <w:p w14:paraId="139922E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p>
    <w:p w14:paraId="5610629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b w:val="0"/>
          <w:bCs w:val="0"/>
          <w:color w:val="auto"/>
          <w:sz w:val="32"/>
          <w:szCs w:val="32"/>
          <w:highlight w:val="none"/>
          <w:lang w:val="en-US" w:eastAsia="zh-CN"/>
        </w:rPr>
      </w:pPr>
    </w:p>
    <w:sectPr>
      <w:pgSz w:w="11906" w:h="16838"/>
      <w:pgMar w:top="1644" w:right="2098"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Univers 45 Light">
    <w:altName w:val="Courier New"/>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D52EA">
    <w:pPr>
      <w:pStyle w:val="8"/>
      <w:ind w:firstLine="360"/>
      <w:jc w:val="center"/>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09171">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00409171">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27932">
    <w:pPr>
      <w:pStyle w:val="9"/>
      <w:pBdr>
        <w:bottom w:val="none" w:color="auto" w:sz="0" w:space="0"/>
      </w:pBdr>
      <w:tabs>
        <w:tab w:val="center" w:pos="4150"/>
        <w:tab w:val="right" w:pos="8300"/>
        <w:tab w:val="clear" w:pos="4153"/>
        <w:tab w:val="clear" w:pos="8306"/>
      </w:tabs>
      <w:spacing w:line="240" w:lineRule="auto"/>
      <w:ind w:firstLine="0" w:firstLineChars="0"/>
    </w:pPr>
  </w:p>
  <w:p w14:paraId="4AC9D4CF">
    <w:pPr>
      <w:spacing w:line="240" w:lineRule="auto"/>
      <w:ind w:firstLine="0" w:firstLineChars="0"/>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24C3B">
    <w:pPr>
      <w:pStyle w:val="9"/>
      <w:pBdr>
        <w:bottom w:val="none" w:color="auto" w:sz="0" w:space="1"/>
      </w:pBdr>
      <w:rPr>
        <w:rFonts w:hint="eastAsia" w:eastAsia="宋体"/>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61B624"/>
    <w:multiLevelType w:val="singleLevel"/>
    <w:tmpl w:val="A461B62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1ZDI3YjNjYmFmNmY4MjMyZTkwZmEzMmJmODYyMGUifQ=="/>
  </w:docVars>
  <w:rsids>
    <w:rsidRoot w:val="3FA016BB"/>
    <w:rsid w:val="016478F4"/>
    <w:rsid w:val="019422A6"/>
    <w:rsid w:val="03411623"/>
    <w:rsid w:val="069B0CA5"/>
    <w:rsid w:val="070F6185"/>
    <w:rsid w:val="089B260D"/>
    <w:rsid w:val="09550CC1"/>
    <w:rsid w:val="0CE422CB"/>
    <w:rsid w:val="0D03664E"/>
    <w:rsid w:val="15140BD2"/>
    <w:rsid w:val="15C745A0"/>
    <w:rsid w:val="16BE3AB0"/>
    <w:rsid w:val="1825554A"/>
    <w:rsid w:val="19524380"/>
    <w:rsid w:val="195B607F"/>
    <w:rsid w:val="1E325105"/>
    <w:rsid w:val="1F7252E7"/>
    <w:rsid w:val="201B5802"/>
    <w:rsid w:val="214C6401"/>
    <w:rsid w:val="21773CF4"/>
    <w:rsid w:val="21997D01"/>
    <w:rsid w:val="21A33989"/>
    <w:rsid w:val="221819BC"/>
    <w:rsid w:val="24A770C0"/>
    <w:rsid w:val="250A34D2"/>
    <w:rsid w:val="28E377FD"/>
    <w:rsid w:val="2CE72547"/>
    <w:rsid w:val="2CFB7240"/>
    <w:rsid w:val="2DC638F9"/>
    <w:rsid w:val="3086791E"/>
    <w:rsid w:val="33E13972"/>
    <w:rsid w:val="36535FA8"/>
    <w:rsid w:val="36CC31B2"/>
    <w:rsid w:val="375548D2"/>
    <w:rsid w:val="37D04548"/>
    <w:rsid w:val="399C5A7C"/>
    <w:rsid w:val="3B827B06"/>
    <w:rsid w:val="3CA803D8"/>
    <w:rsid w:val="3E411645"/>
    <w:rsid w:val="3FA016BB"/>
    <w:rsid w:val="3FBF3121"/>
    <w:rsid w:val="3FE947AA"/>
    <w:rsid w:val="413158B7"/>
    <w:rsid w:val="424C770B"/>
    <w:rsid w:val="42E85458"/>
    <w:rsid w:val="43787B99"/>
    <w:rsid w:val="44031F9E"/>
    <w:rsid w:val="45774DEB"/>
    <w:rsid w:val="45F33215"/>
    <w:rsid w:val="46585B96"/>
    <w:rsid w:val="46FF7BD5"/>
    <w:rsid w:val="4ACB5C38"/>
    <w:rsid w:val="4BC6677E"/>
    <w:rsid w:val="4CE93D57"/>
    <w:rsid w:val="4D1B5F8C"/>
    <w:rsid w:val="4D9F7B9D"/>
    <w:rsid w:val="4F2570A7"/>
    <w:rsid w:val="52900446"/>
    <w:rsid w:val="56AC797B"/>
    <w:rsid w:val="5A0B5DE9"/>
    <w:rsid w:val="5AA1345F"/>
    <w:rsid w:val="5DEF17A5"/>
    <w:rsid w:val="60AF7A26"/>
    <w:rsid w:val="651C2EE6"/>
    <w:rsid w:val="667A754C"/>
    <w:rsid w:val="67340BAF"/>
    <w:rsid w:val="679A19BD"/>
    <w:rsid w:val="68496314"/>
    <w:rsid w:val="6AD73542"/>
    <w:rsid w:val="6AEB7832"/>
    <w:rsid w:val="6B2E643B"/>
    <w:rsid w:val="6B5D6B40"/>
    <w:rsid w:val="6E936D48"/>
    <w:rsid w:val="716442CB"/>
    <w:rsid w:val="718860E6"/>
    <w:rsid w:val="72A65155"/>
    <w:rsid w:val="74AF784E"/>
    <w:rsid w:val="75356724"/>
    <w:rsid w:val="763E10D1"/>
    <w:rsid w:val="77090774"/>
    <w:rsid w:val="78E65D42"/>
    <w:rsid w:val="7969435D"/>
    <w:rsid w:val="7A6572CD"/>
    <w:rsid w:val="7B0C6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unhideWhenUsed/>
    <w:qFormat/>
    <w:uiPriority w:val="9"/>
    <w:pPr>
      <w:keepNext/>
      <w:keepLines/>
      <w:spacing w:before="260" w:after="260" w:line="416" w:lineRule="auto"/>
      <w:outlineLvl w:val="2"/>
    </w:pPr>
    <w:rPr>
      <w:b/>
      <w:bCs/>
      <w:sz w:val="32"/>
      <w:szCs w:val="32"/>
    </w:rPr>
  </w:style>
  <w:style w:type="paragraph" w:styleId="3">
    <w:name w:val="heading 4"/>
    <w:basedOn w:val="1"/>
    <w:next w:val="1"/>
    <w:autoRedefine/>
    <w:qFormat/>
    <w:uiPriority w:val="0"/>
    <w:pPr>
      <w:keepNext/>
      <w:keepLines/>
      <w:spacing w:before="280" w:after="290" w:line="372" w:lineRule="auto"/>
      <w:outlineLvl w:val="3"/>
    </w:pPr>
    <w:rPr>
      <w:rFonts w:ascii="Arial" w:hAnsi="Arial" w:eastAsia="黑体"/>
      <w:b/>
      <w:sz w:val="28"/>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5"/>
    <w:autoRedefine/>
    <w:qFormat/>
    <w:uiPriority w:val="0"/>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5">
    <w:name w:val="toc 1"/>
    <w:basedOn w:val="1"/>
    <w:next w:val="1"/>
    <w:autoRedefine/>
    <w:qFormat/>
    <w:uiPriority w:val="39"/>
    <w:pPr>
      <w:adjustRightInd w:val="0"/>
      <w:snapToGrid w:val="0"/>
      <w:spacing w:before="120" w:after="120"/>
      <w:jc w:val="left"/>
    </w:pPr>
    <w:rPr>
      <w:rFonts w:ascii="Calibri" w:hAnsi="Calibri" w:eastAsia="仿宋_GB2312" w:cs="Calibri"/>
      <w:b/>
      <w:bCs/>
      <w:caps/>
      <w:sz w:val="28"/>
      <w:szCs w:val="28"/>
    </w:rPr>
  </w:style>
  <w:style w:type="paragraph" w:styleId="6">
    <w:name w:val="Block Text"/>
    <w:basedOn w:val="1"/>
    <w:autoRedefine/>
    <w:qFormat/>
    <w:uiPriority w:val="99"/>
    <w:pPr>
      <w:spacing w:line="300" w:lineRule="exact"/>
      <w:ind w:left="-105" w:leftChars="-50" w:right="-105" w:rightChars="-50" w:firstLine="0" w:firstLineChars="0"/>
      <w:jc w:val="center"/>
    </w:pPr>
    <w:rPr>
      <w:rFonts w:ascii="宋体" w:hAnsi="宋体"/>
      <w:sz w:val="18"/>
      <w:szCs w:val="20"/>
    </w:rPr>
  </w:style>
  <w:style w:type="paragraph" w:styleId="7">
    <w:name w:val="Plain Text"/>
    <w:basedOn w:val="1"/>
    <w:qFormat/>
    <w:uiPriority w:val="0"/>
    <w:pPr>
      <w:spacing w:line="240" w:lineRule="auto"/>
      <w:ind w:firstLine="0" w:firstLineChars="0"/>
    </w:pPr>
    <w:rPr>
      <w:rFonts w:ascii="宋体" w:hAnsi="Courier New" w:cs="Courier New"/>
      <w:sz w:val="21"/>
    </w:rPr>
  </w:style>
  <w:style w:type="paragraph" w:styleId="8">
    <w:name w:val="footer"/>
    <w:basedOn w:val="1"/>
    <w:autoRedefine/>
    <w:unhideWhenUsed/>
    <w:qFormat/>
    <w:uiPriority w:val="99"/>
    <w:pPr>
      <w:tabs>
        <w:tab w:val="center" w:pos="4153"/>
        <w:tab w:val="right" w:pos="8306"/>
      </w:tabs>
      <w:snapToGrid w:val="0"/>
    </w:pPr>
    <w:rPr>
      <w:sz w:val="18"/>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2">
    <w:name w:val="Emphasis"/>
    <w:basedOn w:val="11"/>
    <w:autoRedefine/>
    <w:qFormat/>
    <w:uiPriority w:val="20"/>
    <w:rPr>
      <w:i/>
    </w:rPr>
  </w:style>
  <w:style w:type="paragraph" w:customStyle="1" w:styleId="13">
    <w:name w:val="样式8"/>
    <w:basedOn w:val="1"/>
    <w:link w:val="17"/>
    <w:qFormat/>
    <w:uiPriority w:val="0"/>
    <w:pPr>
      <w:spacing w:line="360" w:lineRule="auto"/>
      <w:ind w:firstLine="720" w:firstLineChars="200"/>
      <w:jc w:val="both"/>
    </w:pPr>
    <w:rPr>
      <w:rFonts w:ascii="Times New Roman" w:hAnsi="Times New Roman" w:eastAsia="仿宋"/>
      <w:sz w:val="28"/>
      <w:szCs w:val="24"/>
    </w:rPr>
  </w:style>
  <w:style w:type="paragraph" w:customStyle="1" w:styleId="14">
    <w:name w:val="Default"/>
    <w:autoRedefine/>
    <w:qFormat/>
    <w:uiPriority w:val="0"/>
    <w:pPr>
      <w:widowControl w:val="0"/>
      <w:autoSpaceDE w:val="0"/>
      <w:autoSpaceDN w:val="0"/>
      <w:adjustRightInd w:val="0"/>
    </w:pPr>
    <w:rPr>
      <w:rFonts w:ascii="Univers 45 Light" w:hAnsi="Times New Roman" w:eastAsia="Univers 45 Light" w:cs="Univers 45 Light"/>
      <w:color w:val="000000"/>
      <w:sz w:val="24"/>
      <w:szCs w:val="24"/>
      <w:lang w:val="en-US" w:eastAsia="zh-CN" w:bidi="ar-SA"/>
    </w:rPr>
  </w:style>
  <w:style w:type="character" w:customStyle="1" w:styleId="15">
    <w:name w:val="font21"/>
    <w:basedOn w:val="11"/>
    <w:autoRedefine/>
    <w:qFormat/>
    <w:uiPriority w:val="0"/>
    <w:rPr>
      <w:rFonts w:hint="default" w:ascii="Times New Roman" w:hAnsi="Times New Roman" w:cs="Times New Roman"/>
      <w:color w:val="000000"/>
      <w:sz w:val="28"/>
      <w:szCs w:val="28"/>
      <w:u w:val="none"/>
    </w:rPr>
  </w:style>
  <w:style w:type="character" w:customStyle="1" w:styleId="16">
    <w:name w:val="font31"/>
    <w:basedOn w:val="11"/>
    <w:autoRedefine/>
    <w:qFormat/>
    <w:uiPriority w:val="0"/>
    <w:rPr>
      <w:rFonts w:hint="eastAsia" w:ascii="宋体" w:hAnsi="宋体" w:eastAsia="宋体" w:cs="宋体"/>
      <w:color w:val="000000"/>
      <w:sz w:val="20"/>
      <w:szCs w:val="20"/>
      <w:u w:val="none"/>
    </w:rPr>
  </w:style>
  <w:style w:type="character" w:customStyle="1" w:styleId="17">
    <w:name w:val="样式8 Char1"/>
    <w:link w:val="13"/>
    <w:autoRedefine/>
    <w:qFormat/>
    <w:uiPriority w:val="0"/>
    <w:rPr>
      <w:rFonts w:ascii="Times New Roman" w:hAnsi="Times New Roman" w:eastAsia="仿宋"/>
      <w:sz w:val="28"/>
      <w:szCs w:val="24"/>
    </w:rPr>
  </w:style>
  <w:style w:type="character" w:customStyle="1" w:styleId="18">
    <w:name w:val="font01"/>
    <w:basedOn w:val="11"/>
    <w:autoRedefine/>
    <w:qFormat/>
    <w:uiPriority w:val="0"/>
    <w:rPr>
      <w:rFonts w:ascii="仿宋" w:hAnsi="仿宋" w:eastAsia="仿宋" w:cs="仿宋"/>
      <w:color w:val="000000"/>
      <w:sz w:val="20"/>
      <w:szCs w:val="20"/>
      <w:u w:val="none"/>
    </w:rPr>
  </w:style>
  <w:style w:type="character" w:customStyle="1" w:styleId="19">
    <w:name w:val="font51"/>
    <w:basedOn w:val="11"/>
    <w:autoRedefine/>
    <w:qFormat/>
    <w:uiPriority w:val="0"/>
    <w:rPr>
      <w:rFonts w:hint="eastAsia" w:ascii="仿宋" w:hAnsi="仿宋" w:eastAsia="仿宋" w:cs="仿宋"/>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5055</Words>
  <Characters>5320</Characters>
  <Lines>0</Lines>
  <Paragraphs>0</Paragraphs>
  <TotalTime>2</TotalTime>
  <ScaleCrop>false</ScaleCrop>
  <LinksUpToDate>false</LinksUpToDate>
  <CharactersWithSpaces>5371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2019-12-07T12:57:00Z</dcterms:created>
  <dc:creator>李仕林</dc:creator>
  <cp:lastModifiedBy>777</cp:lastModifiedBy>
  <dcterms:modified xsi:type="dcterms:W3CDTF">2026-04-28T02:41:23Z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4A9BDAB1BEB7416A822C07943B93A118</vt:lpwstr>
  </property>
  <property fmtid="{D5CDD505-2E9C-101B-9397-08002B2CF9AE}" pid="4" name="KSOTemplateDocerSaveRecord">
    <vt:lpwstr>eyJoZGlkIjoiNzZjMWQ3OGRiM2VlZWM3MjJkNzdkNTM4Zjc3MzNiYWYiLCJ1c2VySWQiOiI2MTQ4MjA5NzAifQ==</vt:lpwstr>
  </property>
</Properties>
</file>